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pPr>
      <w:r>
        <w:rPr>
          <w:rFonts w:ascii="Arial;sans-serif" w:hAnsi="Arial;sans-serif"/>
          <w:b/>
          <w:color w:val="000000"/>
          <w:sz w:val="28"/>
        </w:rPr>
        <w:t>Washington, D.C. 20549</w:t>
      </w:r>
      <w:r>
        <w:rPr>
          <w:color w:val="000000"/>
        </w:rPr>
        <w:t> </w:t>
      </w:r>
    </w:p>
    <w:p>
      <w:pPr>
        <w:pStyle w:val="TextBody"/>
        <w:bidi w:val="0"/>
        <w:spacing w:lineRule="auto" w:line="288" w:before="120" w:after="283"/>
        <w:jc w:val="center"/>
        <w:rPr>
          <w:rFonts w:ascii="Arial;sans-serif" w:hAnsi="Arial;sans-serif"/>
          <w:b/>
          <w:color w:val="000000"/>
          <w:sz w:val="32"/>
        </w:rPr>
      </w:pPr>
      <w:r>
        <w:rPr>
          <w:rFonts w:ascii="Arial;sans-serif" w:hAnsi="Arial;sans-serif"/>
          <w:b/>
          <w:color w:val="000000"/>
          <w:sz w:val="32"/>
        </w:rPr>
        <w:t>FORM 10-Q</w:t>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quarterly period ended March 31, 2025</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00"/>
        <w:gridCol w:w="2786"/>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transition period from ___________ to ___________</w:t>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Commission File Number              001-40956</w:t>
      </w:r>
    </w:p>
    <w:p>
      <w:pPr>
        <w:pStyle w:val="TextBody"/>
        <w:bidi w:val="0"/>
        <w:spacing w:lineRule="auto" w:line="288" w:before="180" w:after="283"/>
        <w:jc w:val="center"/>
        <w:rPr>
          <w:rFonts w:ascii="Arial;sans-serif" w:hAnsi="Arial;sans-serif"/>
          <w:b/>
          <w:color w:val="000000"/>
          <w:sz w:val="44"/>
        </w:rPr>
      </w:pPr>
      <w:r>
        <w:rPr>
          <w:rFonts w:ascii="Arial;sans-serif" w:hAnsi="Arial;sans-serif"/>
          <w:b/>
          <w:color w:val="000000"/>
          <w:sz w:val="44"/>
        </w:rPr>
        <w:t>Udemy, Inc.</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7135" w:type="dxa"/>
        <w:jc w:val="left"/>
        <w:tblInd w:w="0" w:type="dxa"/>
        <w:tblLayout w:type="fixed"/>
        <w:tblCellMar>
          <w:top w:w="28" w:type="dxa"/>
          <w:left w:w="28" w:type="dxa"/>
          <w:bottom w:w="28" w:type="dxa"/>
          <w:right w:w="28" w:type="dxa"/>
        </w:tblCellMar>
      </w:tblPr>
      <w:tblGrid>
        <w:gridCol w:w="1308"/>
        <w:gridCol w:w="1148"/>
        <w:gridCol w:w="1158"/>
        <w:gridCol w:w="109"/>
        <w:gridCol w:w="109"/>
        <w:gridCol w:w="109"/>
        <w:gridCol w:w="932"/>
        <w:gridCol w:w="932"/>
        <w:gridCol w:w="1330"/>
      </w:tblGrid>
      <w:tr>
        <w:trPr/>
        <w:tc>
          <w:tcPr>
            <w:tcW w:w="130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27-1779864</w:t>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(State or Other Jurisdiction of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600 Harrison Street, 3rd Floor</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San Francisco,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94107</w:t>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(415) 813-1710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327" w:type="dxa"/>
        <w:jc w:val="left"/>
        <w:tblInd w:w="0" w:type="dxa"/>
        <w:tblLayout w:type="fixed"/>
        <w:tblCellMar>
          <w:top w:w="28" w:type="dxa"/>
          <w:left w:w="28" w:type="dxa"/>
          <w:bottom w:w="28" w:type="dxa"/>
          <w:right w:w="28" w:type="dxa"/>
        </w:tblCellMar>
      </w:tblPr>
      <w:tblGrid>
        <w:gridCol w:w="1170"/>
        <w:gridCol w:w="1029"/>
        <w:gridCol w:w="1040"/>
        <w:gridCol w:w="609"/>
        <w:gridCol w:w="609"/>
        <w:gridCol w:w="611"/>
        <w:gridCol w:w="1245"/>
        <w:gridCol w:w="1245"/>
        <w:gridCol w:w="1769"/>
      </w:tblGrid>
      <w:tr>
        <w:trPr/>
        <w:tc>
          <w:tcPr>
            <w:tcW w:w="117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Title of each class</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Trading Symbol(s)</w:t>
            </w:r>
          </w:p>
        </w:tc>
        <w:tc>
          <w:tcPr>
            <w:tcW w:w="42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32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Common Stock, $0.00001 par value</w:t>
            </w:r>
          </w:p>
        </w:tc>
        <w:tc>
          <w:tcPr>
            <w:tcW w:w="18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UDMY</w:t>
            </w:r>
          </w:p>
        </w:tc>
        <w:tc>
          <w:tcPr>
            <w:tcW w:w="425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The Nasdaq Stock Market</w:t>
            </w:r>
          </w:p>
        </w:tc>
      </w:tr>
    </w:tbl>
    <w:p>
      <w:pPr>
        <w:pStyle w:val="TextBody"/>
        <w:bidi w:val="0"/>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60" w:after="283"/>
        <w:jc w:val="right"/>
        <w:rPr/>
      </w:pPr>
      <w:r>
        <w:rPr>
          <w:rFonts w:ascii="Arial;sans-serif" w:hAnsi="Arial;sans-serif"/>
          <w:b w:val="false"/>
          <w:color w:val="000000"/>
          <w:sz w:val="18"/>
        </w:rPr>
        <w:t>Yes </w:t>
      </w:r>
      <w:r>
        <w:rPr>
          <w:color w:val="000000"/>
        </w:rPr>
        <w:t>☒  </w:t>
      </w:r>
      <w:r>
        <w:rPr>
          <w:rFonts w:ascii="Arial;sans-serif" w:hAnsi="Arial;sans-serif"/>
          <w:b w:val="false"/>
          <w:color w:val="000000"/>
          <w:sz w:val="18"/>
        </w:rPr>
        <w:t xml:space="preserve">No </w:t>
      </w:r>
      <w:r>
        <w:rPr>
          <w:color w:val="000000"/>
        </w:rPr>
        <w:t>☐ </w:t>
      </w:r>
    </w:p>
    <w:p>
      <w:pPr>
        <w:pStyle w:val="TextBody"/>
        <w:bidi w:val="0"/>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p>
    <w:p>
      <w:pPr>
        <w:pStyle w:val="TextBody"/>
        <w:bidi w:val="0"/>
        <w:spacing w:lineRule="auto" w:line="288" w:before="60" w:after="283"/>
        <w:jc w:val="right"/>
        <w:rPr/>
      </w:pPr>
      <w:r>
        <w:rPr>
          <w:color w:val="000000"/>
        </w:rPr>
        <w:t> </w:t>
      </w:r>
      <w:r>
        <w:rPr>
          <w:rFonts w:ascii="Arial;sans-serif" w:hAnsi="Arial;sans-serif"/>
          <w:b w:val="false"/>
          <w:color w:val="000000"/>
          <w:sz w:val="18"/>
        </w:rPr>
        <w:t>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771" w:type="dxa"/>
        <w:jc w:val="left"/>
        <w:tblInd w:w="0" w:type="dxa"/>
        <w:tblLayout w:type="fixed"/>
        <w:tblCellMar>
          <w:top w:w="28" w:type="dxa"/>
          <w:left w:w="28" w:type="dxa"/>
          <w:bottom w:w="28" w:type="dxa"/>
          <w:right w:w="28" w:type="dxa"/>
        </w:tblCellMar>
      </w:tblPr>
      <w:tblGrid>
        <w:gridCol w:w="797"/>
        <w:gridCol w:w="702"/>
        <w:gridCol w:w="706"/>
        <w:gridCol w:w="750"/>
        <w:gridCol w:w="750"/>
        <w:gridCol w:w="1066"/>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Large accelerated filer </w:t>
            </w:r>
            <w:r>
              <w:rPr>
                <w:color w:val="000000"/>
              </w:rPr>
              <w:t>☒</w:t>
            </w:r>
          </w:p>
        </w:tc>
        <w:tc>
          <w:tcPr>
            <w:tcW w:w="256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Accelerated filer </w:t>
            </w:r>
            <w:r>
              <w:rPr>
                <w:color w:val="000000"/>
              </w:rPr>
              <w:t>☐</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Non-accelerated filer  </w:t>
            </w:r>
            <w:r>
              <w:rPr>
                <w:color w:val="000000"/>
              </w:rPr>
              <w:t>☐</w:t>
            </w:r>
          </w:p>
        </w:tc>
        <w:tc>
          <w:tcPr>
            <w:tcW w:w="25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Smaller reporting company ☐</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Emerging growth company ☐</w:t>
            </w:r>
          </w:p>
        </w:tc>
      </w:tr>
    </w:tbl>
    <w:p>
      <w:pPr>
        <w:pStyle w:val="TextBody"/>
        <w:bidi w:val="0"/>
        <w:spacing w:lineRule="auto" w:line="288" w:before="120" w:after="283"/>
        <w:ind w:left="0" w:right="0" w:firstLine="360"/>
        <w:jc w:val="both"/>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360"/>
        <w:jc w:val="both"/>
        <w:rPr/>
      </w:pPr>
      <w:r>
        <w:rPr>
          <w:rFonts w:ascii="Arial;sans-serif" w:hAnsi="Arial;sans-serif"/>
          <w:b w:val="false"/>
          <w:color w:val="000000"/>
          <w:sz w:val="18"/>
        </w:rPr>
        <w:t>Indicate by check mark whether the registrant is a shell company (as defined in Rule 12b-2 of the Exchange Act).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120" w:after="283"/>
        <w:ind w:left="0" w:right="0" w:firstLine="360"/>
        <w:jc w:val="left"/>
        <w:rPr>
          <w:rFonts w:ascii="Arial;sans-serif" w:hAnsi="Arial;sans-serif"/>
          <w:b w:val="false"/>
          <w:color w:val="000000"/>
          <w:sz w:val="18"/>
        </w:rPr>
      </w:pPr>
      <w:r>
        <w:rPr>
          <w:rFonts w:ascii="Arial;sans-serif" w:hAnsi="Arial;sans-serif"/>
          <w:b w:val="false"/>
          <w:color w:val="000000"/>
          <w:sz w:val="18"/>
        </w:rPr>
        <w:t>As of April 24, 2025, 148,731,313 shares of the registrant’s common stock were outstanding.</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Table of Contents</w:t>
      </w:r>
    </w:p>
    <w:tbl>
      <w:tblPr>
        <w:tblW w:w="9508" w:type="dxa"/>
        <w:jc w:val="left"/>
        <w:tblInd w:w="0" w:type="dxa"/>
        <w:tblLayout w:type="fixed"/>
        <w:tblCellMar>
          <w:top w:w="28" w:type="dxa"/>
          <w:left w:w="28" w:type="dxa"/>
          <w:bottom w:w="28" w:type="dxa"/>
          <w:right w:w="28" w:type="dxa"/>
        </w:tblCellMar>
      </w:tblPr>
      <w:tblGrid>
        <w:gridCol w:w="124"/>
        <w:gridCol w:w="109"/>
        <w:gridCol w:w="109"/>
        <w:gridCol w:w="2852"/>
        <w:gridCol w:w="2852"/>
        <w:gridCol w:w="2861"/>
        <w:gridCol w:w="176"/>
        <w:gridCol w:w="176"/>
        <w:gridCol w:w="2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f6dd7ad1c34b7ab137757266b745c8_10">
              <w:r>
                <w:rPr>
                  <w:rStyle w:val="InternetLink"/>
                  <w:rFonts w:ascii="Arial;sans-serif" w:hAnsi="Arial;sans-serif"/>
                  <w:b w:val="false"/>
                  <w:color w:val="0000FF"/>
                  <w:sz w:val="20"/>
                  <w:u w:val="single"/>
                </w:rPr>
                <w:t>Summary of Risk Factors</w:t>
              </w:r>
            </w:hyperlink>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7cf6dd7ad1c34b7ab137757266b745c8_10">
              <w:r>
                <w:rPr>
                  <w:rStyle w:val="InternetLink"/>
                  <w:rFonts w:ascii="Arial;sans-serif" w:hAnsi="Arial;sans-serif"/>
                  <w:b w:val="false"/>
                  <w:color w:val="0000FF"/>
                  <w:sz w:val="20"/>
                  <w:u w:val="single"/>
                </w:rPr>
                <w:t>i</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cf6dd7ad1c34b7ab137757266b745c8_13">
              <w:r>
                <w:rPr>
                  <w:rStyle w:val="InternetLink"/>
                  <w:rFonts w:ascii="Arial;sans-serif" w:hAnsi="Arial;sans-serif"/>
                  <w:b w:val="false"/>
                  <w:color w:val="0000FF"/>
                  <w:sz w:val="20"/>
                  <w:u w:val="single"/>
                </w:rPr>
                <w:t>Special Note Regarding Forward-Looking Statements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f6dd7ad1c34b7ab137757266b745c8_13">
              <w:r>
                <w:rPr>
                  <w:rStyle w:val="InternetLink"/>
                  <w:rFonts w:ascii="Arial;sans-serif" w:hAnsi="Arial;sans-serif"/>
                  <w:b w:val="false"/>
                  <w:color w:val="0000FF"/>
                  <w:sz w:val="20"/>
                  <w:u w:val="single"/>
                </w:rPr>
                <w:t>ii</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cf6dd7ad1c34b7ab137757266b745c8_16">
              <w:r>
                <w:rPr>
                  <w:rStyle w:val="InternetLink"/>
                  <w:rFonts w:ascii="Arial;sans-serif" w:hAnsi="Arial;sans-serif"/>
                  <w:b w:val="false"/>
                  <w:color w:val="0000FF"/>
                  <w:sz w:val="20"/>
                  <w:u w:val="single"/>
                </w:rPr>
                <w:t>Part I. Financial Information</w:t>
              </w:r>
            </w:hyperlink>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f6dd7ad1c34b7ab137757266b745c8_88">
              <w:r>
                <w:rPr>
                  <w:rStyle w:val="InternetLink"/>
                  <w:rFonts w:ascii="Arial;sans-serif" w:hAnsi="Arial;sans-serif"/>
                  <w:b w:val="false"/>
                  <w:color w:val="0000FF"/>
                  <w:sz w:val="20"/>
                  <w:u w:val="single"/>
                </w:rPr>
                <w:t>Item 1. Financial Statements (Unaudited)</w:t>
              </w:r>
            </w:hyperlink>
            <w:r>
              <w:rPr>
                <w:color w:val="000000"/>
              </w:rPr>
              <w:t xml:space="preserve"> </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f6dd7ad1c34b7ab137757266b745c8_88">
              <w:r>
                <w:rPr>
                  <w:rStyle w:val="InternetLink"/>
                  <w:rFonts w:ascii="Arial;sans-serif" w:hAnsi="Arial;sans-serif"/>
                  <w:b w:val="false"/>
                  <w:color w:val="0000FF"/>
                  <w:sz w:val="20"/>
                  <w:u w:val="single"/>
                </w:rPr>
                <w:t>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f6dd7ad1c34b7ab137757266b745c8_97">
              <w:r>
                <w:rPr>
                  <w:rStyle w:val="InternetLink"/>
                  <w:rFonts w:ascii="Arial;sans-serif" w:hAnsi="Arial;sans-serif"/>
                  <w:b w:val="false"/>
                  <w:color w:val="0000FF"/>
                  <w:sz w:val="20"/>
                  <w:u w:val="single"/>
                </w:rPr>
                <w:t>Condensed Consolidated Balance Sheets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f6dd7ad1c34b7ab137757266b745c8_97">
              <w:r>
                <w:rPr>
                  <w:rStyle w:val="InternetLink"/>
                  <w:rFonts w:ascii="Arial;sans-serif" w:hAnsi="Arial;sans-serif"/>
                  <w:b w:val="false"/>
                  <w:color w:val="0000FF"/>
                  <w:sz w:val="20"/>
                  <w:u w:val="single"/>
                </w:rPr>
                <w:t>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f6dd7ad1c34b7ab137757266b745c8_100">
              <w:r>
                <w:rPr>
                  <w:rStyle w:val="InternetLink"/>
                  <w:rFonts w:ascii="Arial;sans-serif" w:hAnsi="Arial;sans-serif"/>
                  <w:b w:val="false"/>
                  <w:color w:val="0000FF"/>
                  <w:sz w:val="20"/>
                  <w:u w:val="single"/>
                </w:rPr>
                <w:t>Condensed Consolidated Statements of Operations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f6dd7ad1c34b7ab137757266b745c8_100">
              <w:r>
                <w:rPr>
                  <w:rStyle w:val="InternetLink"/>
                  <w:rFonts w:ascii="Arial;sans-serif" w:hAnsi="Arial;sans-serif"/>
                  <w:b w:val="false"/>
                  <w:color w:val="0000FF"/>
                  <w:sz w:val="20"/>
                  <w:u w:val="single"/>
                </w:rPr>
                <w:t>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f6dd7ad1c34b7ab137757266b745c8_103">
              <w:r>
                <w:rPr>
                  <w:rStyle w:val="InternetLink"/>
                  <w:rFonts w:ascii="Arial;sans-serif" w:hAnsi="Arial;sans-serif"/>
                  <w:b w:val="false"/>
                  <w:color w:val="0000FF"/>
                  <w:sz w:val="20"/>
                  <w:u w:val="single"/>
                </w:rPr>
                <w:t>Condensed Consolidated Statements of Comprehensive Loss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f6dd7ad1c34b7ab137757266b745c8_103">
              <w:r>
                <w:rPr>
                  <w:rStyle w:val="InternetLink"/>
                  <w:rFonts w:ascii="Arial;sans-serif" w:hAnsi="Arial;sans-serif"/>
                  <w:b w:val="false"/>
                  <w:color w:val="0000FF"/>
                  <w:sz w:val="20"/>
                  <w:u w:val="single"/>
                </w:rPr>
                <w:t>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f6dd7ad1c34b7ab137757266b745c8_106">
              <w:r>
                <w:rPr>
                  <w:rStyle w:val="InternetLink"/>
                  <w:rFonts w:ascii="Arial;sans-serif" w:hAnsi="Arial;sans-serif"/>
                  <w:b w:val="false"/>
                  <w:color w:val="0000FF"/>
                  <w:sz w:val="20"/>
                  <w:u w:val="single"/>
                </w:rPr>
                <w:t>Condensed Consolidated Statements of Stockholders’ Equity</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f6dd7ad1c34b7ab137757266b745c8_106">
              <w:r>
                <w:rPr>
                  <w:rStyle w:val="InternetLink"/>
                  <w:rFonts w:ascii="Arial;sans-serif" w:hAnsi="Arial;sans-serif"/>
                  <w:b w:val="false"/>
                  <w:color w:val="0000FF"/>
                  <w:sz w:val="20"/>
                  <w:u w:val="single"/>
                </w:rPr>
                <w:t>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f6dd7ad1c34b7ab137757266b745c8_109">
              <w:r>
                <w:rPr>
                  <w:rStyle w:val="InternetLink"/>
                  <w:rFonts w:ascii="Arial;sans-serif" w:hAnsi="Arial;sans-serif"/>
                  <w:b w:val="false"/>
                  <w:color w:val="0000FF"/>
                  <w:sz w:val="20"/>
                  <w:u w:val="single"/>
                </w:rPr>
                <w:t>Condensed Consolidated Statements of Cash Flows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f6dd7ad1c34b7ab137757266b745c8_109">
              <w:r>
                <w:rPr>
                  <w:rStyle w:val="InternetLink"/>
                  <w:rFonts w:ascii="Arial;sans-serif" w:hAnsi="Arial;sans-serif"/>
                  <w:b w:val="false"/>
                  <w:color w:val="0000FF"/>
                  <w:sz w:val="20"/>
                  <w:u w:val="single"/>
                </w:rPr>
                <w:t>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f6dd7ad1c34b7ab137757266b745c8_112">
              <w:r>
                <w:rPr>
                  <w:rStyle w:val="InternetLink"/>
                  <w:rFonts w:ascii="Arial;sans-serif" w:hAnsi="Arial;sans-serif"/>
                  <w:b w:val="false"/>
                  <w:color w:val="0000FF"/>
                  <w:sz w:val="20"/>
                  <w:u w:val="single"/>
                </w:rPr>
                <w:t>Notes to Condensed Consolidated Financial Statements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f6dd7ad1c34b7ab137757266b745c8_112">
              <w:r>
                <w:rPr>
                  <w:rStyle w:val="InternetLink"/>
                  <w:rFonts w:ascii="Arial;sans-serif" w:hAnsi="Arial;sans-serif"/>
                  <w:b w:val="false"/>
                  <w:color w:val="0000FF"/>
                  <w:sz w:val="20"/>
                  <w:u w:val="single"/>
                </w:rPr>
                <w:t>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f6dd7ad1c34b7ab137757266b745c8_49">
              <w:r>
                <w:rPr>
                  <w:rStyle w:val="InternetLink"/>
                  <w:rFonts w:ascii="Arial;sans-serif" w:hAnsi="Arial;sans-serif"/>
                  <w:b w:val="false"/>
                  <w:color w:val="0000FF"/>
                  <w:sz w:val="20"/>
                  <w:u w:val="single"/>
                </w:rPr>
                <w:t>Item 2. Management's Discussion and Analysis of Financial Condition and Results of Operations </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f6dd7ad1c34b7ab137757266b745c8_49">
              <w:r>
                <w:rPr>
                  <w:rStyle w:val="InternetLink"/>
                  <w:rFonts w:ascii="Arial;sans-serif" w:hAnsi="Arial;sans-serif"/>
                  <w:b w:val="false"/>
                  <w:color w:val="0000FF"/>
                  <w:sz w:val="20"/>
                  <w:u w:val="single"/>
                </w:rPr>
                <w:t>24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f6dd7ad1c34b7ab137757266b745c8_85">
              <w:r>
                <w:rPr>
                  <w:rStyle w:val="InternetLink"/>
                  <w:rFonts w:ascii="Arial;sans-serif" w:hAnsi="Arial;sans-serif"/>
                  <w:b w:val="false"/>
                  <w:color w:val="0000FF"/>
                  <w:sz w:val="20"/>
                  <w:u w:val="single"/>
                </w:rPr>
                <w:t>Item 3. Quantitative and Qualitative Disclosures about Market Risk</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f6dd7ad1c34b7ab137757266b745c8_85">
              <w:r>
                <w:rPr>
                  <w:rStyle w:val="InternetLink"/>
                  <w:rFonts w:ascii="Arial;sans-serif" w:hAnsi="Arial;sans-serif"/>
                  <w:b w:val="false"/>
                  <w:color w:val="0000FF"/>
                  <w:sz w:val="20"/>
                  <w:u w:val="single"/>
                </w:rPr>
                <w:t>40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f6dd7ad1c34b7ab137757266b745c8_166">
              <w:r>
                <w:rPr>
                  <w:rStyle w:val="InternetLink"/>
                  <w:rFonts w:ascii="Arial;sans-serif" w:hAnsi="Arial;sans-serif"/>
                  <w:b w:val="false"/>
                  <w:color w:val="0000FF"/>
                  <w:sz w:val="20"/>
                  <w:u w:val="single"/>
                </w:rPr>
                <w:t>Item 4. Controls and Procedures </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f6dd7ad1c34b7ab137757266b745c8_166">
              <w:r>
                <w:rPr>
                  <w:rStyle w:val="InternetLink"/>
                  <w:rFonts w:ascii="Arial;sans-serif" w:hAnsi="Arial;sans-serif"/>
                  <w:b w:val="false"/>
                  <w:color w:val="0000FF"/>
                  <w:sz w:val="20"/>
                  <w:u w:val="single"/>
                </w:rPr>
                <w:t>41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cf6dd7ad1c34b7ab137757266b745c8_40">
              <w:r>
                <w:rPr>
                  <w:rStyle w:val="InternetLink"/>
                  <w:rFonts w:ascii="Arial;sans-serif" w:hAnsi="Arial;sans-serif"/>
                  <w:b w:val="false"/>
                  <w:color w:val="0000FF"/>
                  <w:sz w:val="20"/>
                  <w:u w:val="single"/>
                </w:rPr>
                <w:t xml:space="preserve">Part II. Other Information </w:t>
              </w:r>
            </w:hyperlink>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f6dd7ad1c34b7ab137757266b745c8_34">
              <w:r>
                <w:rPr>
                  <w:rStyle w:val="InternetLink"/>
                  <w:rFonts w:ascii="Arial;sans-serif" w:hAnsi="Arial;sans-serif"/>
                  <w:b w:val="false"/>
                  <w:color w:val="0000FF"/>
                  <w:sz w:val="20"/>
                  <w:u w:val="single"/>
                </w:rPr>
                <w:t>Item 1. Legal Proceedings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f6dd7ad1c34b7ab137757266b745c8_34">
              <w:r>
                <w:rPr>
                  <w:rStyle w:val="InternetLink"/>
                  <w:rFonts w:ascii="Arial;sans-serif" w:hAnsi="Arial;sans-serif"/>
                  <w:b w:val="false"/>
                  <w:color w:val="0000FF"/>
                  <w:sz w:val="20"/>
                  <w:u w:val="single"/>
                </w:rPr>
                <w:t>42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f6dd7ad1c34b7ab137757266b745c8_22">
              <w:r>
                <w:rPr>
                  <w:rStyle w:val="InternetLink"/>
                  <w:rFonts w:ascii="Arial;sans-serif" w:hAnsi="Arial;sans-serif"/>
                  <w:b w:val="false"/>
                  <w:color w:val="0000FF"/>
                  <w:sz w:val="20"/>
                  <w:u w:val="single"/>
                </w:rPr>
                <w:t>Item 1A. Risk Factors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f6dd7ad1c34b7ab137757266b745c8_22">
              <w:r>
                <w:rPr>
                  <w:rStyle w:val="InternetLink"/>
                  <w:rFonts w:ascii="Arial;sans-serif" w:hAnsi="Arial;sans-serif"/>
                  <w:b w:val="false"/>
                  <w:color w:val="0000FF"/>
                  <w:sz w:val="20"/>
                  <w:u w:val="single"/>
                </w:rPr>
                <w:t>43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f6dd7ad1c34b7ab137757266b745c8_43">
              <w:r>
                <w:rPr>
                  <w:rStyle w:val="InternetLink"/>
                  <w:rFonts w:ascii="Arial;sans-serif" w:hAnsi="Arial;sans-serif"/>
                  <w:b w:val="false"/>
                  <w:color w:val="0000FF"/>
                  <w:sz w:val="20"/>
                  <w:u w:val="single"/>
                </w:rPr>
                <w:t>Item 2. Unregistered Sales of Equity Securities and Use of Proceeds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f6dd7ad1c34b7ab137757266b745c8_43">
              <w:r>
                <w:rPr>
                  <w:rStyle w:val="InternetLink"/>
                  <w:rFonts w:ascii="Arial;sans-serif" w:hAnsi="Arial;sans-serif"/>
                  <w:b w:val="false"/>
                  <w:color w:val="0000FF"/>
                  <w:sz w:val="20"/>
                  <w:u w:val="single"/>
                </w:rPr>
                <w:t>75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f6dd7ad1c34b7ab137757266b745c8_806">
              <w:r>
                <w:rPr>
                  <w:rStyle w:val="InternetLink"/>
                  <w:rFonts w:ascii="Arial;sans-serif" w:hAnsi="Arial;sans-serif"/>
                  <w:b w:val="false"/>
                  <w:color w:val="0000FF"/>
                  <w:sz w:val="20"/>
                  <w:u w:val="single"/>
                </w:rPr>
                <w:t>Item 3. Defaults Upon Senior Securities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f6dd7ad1c34b7ab137757266b745c8_806">
              <w:r>
                <w:rPr>
                  <w:rStyle w:val="InternetLink"/>
                  <w:rFonts w:ascii="Arial;sans-serif" w:hAnsi="Arial;sans-serif"/>
                  <w:b w:val="false"/>
                  <w:color w:val="0000FF"/>
                  <w:sz w:val="20"/>
                  <w:u w:val="single"/>
                </w:rPr>
                <w:t>76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f6dd7ad1c34b7ab137757266b745c8_37">
              <w:r>
                <w:rPr>
                  <w:rStyle w:val="InternetLink"/>
                  <w:rFonts w:ascii="Arial;sans-serif" w:hAnsi="Arial;sans-serif"/>
                  <w:b w:val="false"/>
                  <w:color w:val="0000FF"/>
                  <w:sz w:val="20"/>
                  <w:u w:val="single"/>
                </w:rPr>
                <w:t>Item 4. Mine Safety Disclosures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f6dd7ad1c34b7ab137757266b745c8_37">
              <w:r>
                <w:rPr>
                  <w:rStyle w:val="InternetLink"/>
                  <w:rFonts w:ascii="Arial;sans-serif" w:hAnsi="Arial;sans-serif"/>
                  <w:b w:val="false"/>
                  <w:color w:val="0000FF"/>
                  <w:sz w:val="20"/>
                  <w:u w:val="single"/>
                </w:rPr>
                <w:t>77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f6dd7ad1c34b7ab137757266b745c8_172">
              <w:r>
                <w:rPr>
                  <w:rStyle w:val="InternetLink"/>
                  <w:rFonts w:ascii="Arial;sans-serif" w:hAnsi="Arial;sans-serif"/>
                  <w:b w:val="false"/>
                  <w:color w:val="0000FF"/>
                  <w:sz w:val="20"/>
                  <w:u w:val="single"/>
                </w:rPr>
                <w:t>Item 5. Other Information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f6dd7ad1c34b7ab137757266b745c8_172">
              <w:r>
                <w:rPr>
                  <w:rStyle w:val="InternetLink"/>
                  <w:rFonts w:ascii="Arial;sans-serif" w:hAnsi="Arial;sans-serif"/>
                  <w:b w:val="false"/>
                  <w:color w:val="0000FF"/>
                  <w:sz w:val="20"/>
                  <w:u w:val="single"/>
                </w:rPr>
                <w:t>78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cf6dd7ad1c34b7ab137757266b745c8_202">
              <w:r>
                <w:rPr>
                  <w:rStyle w:val="InternetLink"/>
                  <w:rFonts w:ascii="Arial;sans-serif" w:hAnsi="Arial;sans-serif"/>
                  <w:b w:val="false"/>
                  <w:color w:val="0000FF"/>
                  <w:sz w:val="20"/>
                  <w:u w:val="single"/>
                </w:rPr>
                <w:t>Item 6. Exhibits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f6dd7ad1c34b7ab137757266b745c8_202">
              <w:r>
                <w:rPr>
                  <w:rStyle w:val="InternetLink"/>
                  <w:rFonts w:ascii="Arial;sans-serif" w:hAnsi="Arial;sans-serif"/>
                  <w:b w:val="false"/>
                  <w:color w:val="0000FF"/>
                  <w:sz w:val="20"/>
                  <w:u w:val="single"/>
                </w:rPr>
                <w:t>79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cf6dd7ad1c34b7ab137757266b745c8_208">
              <w:r>
                <w:rPr>
                  <w:rStyle w:val="InternetLink"/>
                  <w:rFonts w:ascii="Arial;sans-serif" w:hAnsi="Arial;sans-serif"/>
                  <w:b w:val="false"/>
                  <w:color w:val="0000FF"/>
                  <w:sz w:val="20"/>
                  <w:u w:val="single"/>
                </w:rPr>
                <w:t>Signatures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f6dd7ad1c34b7ab137757266b745c8_208">
              <w:r>
                <w:rPr>
                  <w:rStyle w:val="InternetLink"/>
                  <w:rFonts w:ascii="Arial;sans-serif" w:hAnsi="Arial;sans-serif"/>
                  <w:b w:val="false"/>
                  <w:color w:val="0000FF"/>
                  <w:sz w:val="20"/>
                  <w:u w:val="single"/>
                </w:rPr>
                <w:t>81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Summary of risk factors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Our business is subject to numerous risks and uncertainties, including those highlighted in the section of this report titled “Risk Factors.” The following is a summary of the principal risks we face, any of which could adversely affect our business, operating results, financial condition, or prospects: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 xml:space="preserve">We have a history of losses, and we may not be able to generate sufficient revenue to achieve or maintain profitability in the future.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We operate in an emerging and dynamic market, which makes it difficult to evaluate our future results of operations.</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Our results of operations may fluctuate significantly from period to period due to a wide range of factors, which makes our future results difficult to predict.</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Our growth may not be sustainable and depends on our ability to attract new learners, instructors, and organizations and retain existing ones.</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Our platform relies on a limited number of instructors who create a significant portion of the most popular content on our platform, and the loss of these instructor relationships could adversely affect our business, financial condition, and results of operations.</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If we fail to maintain and expand our relationships with Udemy Business (“UB” or “Enterprise”) customers, our ability to grow our business and revenue will suffer.</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We operate in a highly competitive market, and we may not be able to compete successfully against current and future competitors.</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The market for online learning solutions is relatively new and may not grow as we expect, which may harm our business, financial condition, and results of operations.</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Adherence to our values and our focus on long-term sustainability may negatively impact our short- or medium-term financial performance.</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Failure to effectively leverage our strategic partnerships to market and sell our products could impact our ability to increase brand awareness and grow our revenue.</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We operate internationally and we plan to continue expanding our international operations, which exposes us to risks inherent in international operations.</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Changes in laws or regulations relating to privacy, data protection, or cybersecurity, including those relating to the protection or transfer of data relating to individuals, or any actual or perceived failure by us to comply with such laws and regulations or any other obligations, could adversely affect our business.</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We may be unable to adequately obtain, maintain, protect, and enforce our intellectual property and proprietary information, which could adversely affect our business, financial condition, and results of operations.</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We could face liability, or our reputation might be harmed, as a result of courses posted to our platform.</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Intellectual property litigation, including litigation related to content available on our platform, could result in significant costs and adversely affect our business, financial condition, results of operations, and reputation.</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The trading price of our common stock may be volatile, and you could lose all or part of your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jc w:val="left"/>
        <w:rPr>
          <w:rFonts w:ascii="Arial;sans-serif" w:hAnsi="Arial;sans-serif"/>
          <w:b/>
          <w:color w:val="000000"/>
          <w:sz w:val="24"/>
        </w:rPr>
      </w:pPr>
      <w:r>
        <w:rPr>
          <w:rFonts w:ascii="Arial;sans-serif" w:hAnsi="Arial;sans-serif"/>
          <w:b/>
          <w:color w:val="000000"/>
          <w:sz w:val="24"/>
        </w:rPr>
        <w:t>Special note regarding forward-looking statements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 xml:space="preserve">This Quarterly Report on Form 10-Q (“Form 10-Q”) contains forward-looking statements within the meaning of the Private Securities Litigation Reform Act of 1995. All statements other than statements of historical facts contained in this Form 10-Q, including statements regarding our future results of operations or financial condition, business strategy and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that concern our expectations, strategy, plans or intentions. Forward-looking statements contained in this Form 10-Q include, but are not limited to, statements about: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our expectations regarding our financial and operating performance, including our expectations regarding our revenue, costs, monthly average buyers, number of Udemy Business (“UB”) customers, UB Annual Recurring Revenue, UB Net Dollar Retention Rate, UB Large Customer Net Dollar Retention Rate, segment revenue, segment adjusted gross profit, adjusted EBITDA, and adjusted EBITDA margin;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our ability to successfully execute our business, growth and operational strategies, including our operational efficiency initiatives;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our ability to attract and retain learners, instructors, and enterprise customers;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the timing, impact, and success of new features, integrations, capabilities, and other platform enhancements by us, or by our competitors to their offerings, or any other changes in the competitive landscape of our markets and industry;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anticipated trends, developments, and challenges in our industry, business, the markets in which we operate, and broader macroeconomic environment;</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the size of our addressable markets, market share, and market trends, including our ability to grow our business internationally;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the sufficiency of our cash, cash equivalents, and investments to meet our liquidity needs;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our ability to develop and protect our brand and reputation;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our expectations and management of future growth;</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our expectations concerning relationships with third parties;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 xml:space="preserve">our ability to attract, retain, and motivate our skilled personnel, including members of our senior management team;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 xml:space="preserve">our expectations regarding the effects of existing and developing laws and regulations, including with respect to taxation and privacy, data protection, and cybersecurity;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 xml:space="preserve">our ability to maintain the security and availability of our platform;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our ability to successfully defend litigation brought against us;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our ability to successfully identify, execute, and integrate any potential acquisitions or strategic investments;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our expectations regarding our income and other tax liabilities;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our ability to effectively manage our exposure to fluctuations in foreign currency exchange rates;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 xml:space="preserve">our ability to obtain, maintain, protect, and enforce our intellectual property and proprietary information.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Actual events or results may differ from those expressed in forward-looking statements. As such, you should not rely on forward-looking statements as predictions of future events. We have based the forward-looking statements contained in this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 addition, statements that “we believe” and similar statements reflect our beliefs and opinions on the relevant subject. These statements are based on information available to us as of the date of this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forward-looking statements made in this Form 10-Q relate only to events as of the date on which the statements are made. We undertake no obligation to update any forward-looking statements made in this Form 10-Q to reflect events or circumstances after the date of this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pStyle w:val="TextBody"/>
        <w:bidi w:val="0"/>
        <w:spacing w:lineRule="auto" w:line="288" w:before="120" w:after="283"/>
        <w:jc w:val="left"/>
        <w:rPr/>
      </w:pPr>
      <w:r>
        <w:rPr>
          <w:rFonts w:ascii="Arial;sans-serif" w:hAnsi="Arial;sans-serif"/>
          <w:b w:val="false"/>
          <w:color w:val="000000"/>
          <w:sz w:val="18"/>
        </w:rPr>
        <w:t>Investors and others should note that we may announce material information to the public through filings with the Securities and Exchange Commission, our website (udemy.com), press releases, public conference calls, public webcasts, and social media, including our corporate and our Chief Executive Officer’s social media accounts on LinkedIn and X. We encourage our investors and others to review the information disclosed through such channels as such information could be deemed to be material information. Please note that this list may be updated from time to time</w:t>
      </w:r>
      <w:r>
        <w:rPr>
          <w:rFonts w:ascii="Arial;sans-serif" w:hAnsi="Arial;sans-serif"/>
          <w:b w:val="false"/>
          <w:color w:val="000000"/>
          <w:sz w:val="18"/>
          <w:shd w:fill="FFFFFF" w:val="clear"/>
        </w:rPr>
        <w:t>.</w:t>
      </w:r>
    </w:p>
    <w:p>
      <w:pPr>
        <w:pStyle w:val="TextBody"/>
        <w:bidi w:val="0"/>
        <w:spacing w:lineRule="auto" w:line="288" w:before="120" w:after="283"/>
        <w:jc w:val="left"/>
        <w:rPr>
          <w:rFonts w:ascii="Arial;sans-serif" w:hAnsi="Arial;sans-serif"/>
          <w:b/>
          <w:color w:val="000000"/>
          <w:sz w:val="24"/>
        </w:rPr>
      </w:pPr>
      <w:r>
        <w:rPr>
          <w:rFonts w:ascii="Arial;sans-serif" w:hAnsi="Arial;sans-serif"/>
          <w:b/>
          <w:color w:val="000000"/>
          <w:sz w:val="24"/>
        </w:rPr>
        <w:t>Market and industry data</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 xml:space="preserve">Certain market and industry data included in this Form 10-Q has been obtained from third party sources that we believe to be reliable. Market estimates are calculated by using independent industry publications, government publications, and third-party forecasts in conjunction with our assumptions about our markets. We have not independently verified such third-party information. While we are not aware of any misstatements regarding any market, industry or similar data presented herein, such data involves risks and uncertainties and is subject to change based on various factors, including those discussed in this Form 10-Q in the section titled “Special Note Regarding Forward-Looking Statements” and in Part II, Item 1A, “Risk Factors.”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PART 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Item 1.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Udemy,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Balance Sheets </w:t>
      </w:r>
    </w:p>
    <w:p>
      <w:pPr>
        <w:pStyle w:val="TextBody"/>
        <w:bidi w:val="0"/>
        <w:spacing w:lineRule="auto" w:line="288" w:before="0" w:after="0"/>
        <w:jc w:val="center"/>
        <w:rPr/>
      </w:pPr>
      <w:r>
        <w:rPr>
          <w:rFonts w:ascii="Arial;sans-serif" w:hAnsi="Arial;sans-serif"/>
          <w:b w:val="false"/>
          <w:color w:val="000000"/>
          <w:sz w:val="20"/>
        </w:rPr>
        <w:t>(</w:t>
      </w:r>
      <w:r>
        <w:rPr>
          <w:rFonts w:ascii="Arial;sans-serif" w:hAnsi="Arial;sans-serif"/>
          <w:b w:val="false"/>
          <w:i/>
          <w:color w:val="000000"/>
          <w:sz w:val="20"/>
        </w:rPr>
        <w:t>in thousands, except share and per share amounts</w:t>
      </w:r>
      <w:r>
        <w:rPr>
          <w:rFonts w:ascii="Arial;sans-serif" w:hAnsi="Arial;sans-serif"/>
          <w:b w:val="false"/>
          <w:color w:val="000000"/>
          <w:sz w:val="20"/>
        </w:rPr>
        <w:t>)</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80"/>
        <w:gridCol w:w="2305"/>
        <w:gridCol w:w="2282"/>
        <w:gridCol w:w="196"/>
        <w:gridCol w:w="736"/>
        <w:gridCol w:w="109"/>
        <w:gridCol w:w="109"/>
        <w:gridCol w:w="109"/>
        <w:gridCol w:w="109"/>
        <w:gridCol w:w="210"/>
        <w:gridCol w:w="792"/>
        <w:gridCol w:w="168"/>
      </w:tblGrid>
      <w:tr>
        <w:trPr/>
        <w:tc>
          <w:tcPr>
            <w:tcW w:w="3080"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December 31, </w:t>
            </w:r>
          </w:p>
        </w:tc>
      </w:tr>
      <w:tr>
        <w:trPr/>
        <w:tc>
          <w:tcPr>
            <w:tcW w:w="7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76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189,617 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190,592 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Restricted cash,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Marketable securities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167,398 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163,844 </w:t>
            </w:r>
          </w:p>
        </w:tc>
        <w:tc>
          <w:tcPr>
            <w:tcW w:w="168"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Accounts receivable, net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88,216 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6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22,735 </w:t>
            </w:r>
          </w:p>
        </w:tc>
        <w:tc>
          <w:tcPr>
            <w:tcW w:w="168"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contract costs,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40,841 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541,056 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506,328 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software, net</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31,548 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non-current</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contract costs,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32,212 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2,428 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12,646 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3,867 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605,628 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104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6,311 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Content costs payable</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37,607 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 and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28,793 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current</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2,502 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291,106 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420,318 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397,475 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 non-current</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2,438 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429,634 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408,234 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Note 7 – Commitments and contingencies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Stockholders' equity: </w:t>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Common stock, $0.00001 par value - 950,000,000 shares authorized; 148,485,106 and 147,484,280 shares issued and outstanding as of March 31, 2025, and December 31, 2024,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6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1,016,130 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1,002,390 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6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(806,757)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(804,986)</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197,394 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638,993 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605,628 </w:t>
            </w:r>
          </w:p>
        </w:tc>
        <w:tc>
          <w:tcPr>
            <w:tcW w:w="16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Udemy,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pPr>
      <w:r>
        <w:rPr>
          <w:rFonts w:ascii="Arial;sans-serif" w:hAnsi="Arial;sans-serif"/>
          <w:b w:val="false"/>
          <w:color w:val="000000"/>
          <w:sz w:val="20"/>
        </w:rPr>
        <w:t>(</w:t>
      </w:r>
      <w:r>
        <w:rPr>
          <w:rFonts w:ascii="Arial;sans-serif" w:hAnsi="Arial;sans-serif"/>
          <w:b w:val="false"/>
          <w:i/>
          <w:color w:val="000000"/>
          <w:sz w:val="20"/>
        </w:rPr>
        <w:t>in thousands, except share and per share amounts</w:t>
      </w:r>
      <w:r>
        <w:rPr>
          <w:rFonts w:ascii="Arial;sans-serif" w:hAnsi="Arial;sans-serif"/>
          <w:b w:val="false"/>
          <w:color w:val="000000"/>
          <w:sz w:val="20"/>
        </w:rPr>
        <w:t>)</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(unaudited)</w:t>
      </w:r>
    </w:p>
    <w:tbl>
      <w:tblPr>
        <w:tblW w:w="7508" w:type="dxa"/>
        <w:jc w:val="center"/>
        <w:tblInd w:w="0" w:type="dxa"/>
        <w:tblLayout w:type="fixed"/>
        <w:tblCellMar>
          <w:top w:w="28" w:type="dxa"/>
          <w:left w:w="28" w:type="dxa"/>
          <w:bottom w:w="28" w:type="dxa"/>
          <w:right w:w="28" w:type="dxa"/>
        </w:tblCellMar>
      </w:tblPr>
      <w:tblGrid>
        <w:gridCol w:w="1733"/>
        <w:gridCol w:w="1519"/>
        <w:gridCol w:w="1532"/>
        <w:gridCol w:w="221"/>
        <w:gridCol w:w="830"/>
        <w:gridCol w:w="115"/>
        <w:gridCol w:w="115"/>
        <w:gridCol w:w="115"/>
        <w:gridCol w:w="115"/>
        <w:gridCol w:w="221"/>
        <w:gridCol w:w="830"/>
        <w:gridCol w:w="162"/>
      </w:tblGrid>
      <w:tr>
        <w:trPr/>
        <w:tc>
          <w:tcPr>
            <w:tcW w:w="1733"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78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221"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200,300 </w:t>
            </w:r>
          </w:p>
        </w:tc>
        <w:tc>
          <w:tcPr>
            <w:tcW w:w="115"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196,846 </w:t>
            </w:r>
          </w:p>
        </w:tc>
        <w:tc>
          <w:tcPr>
            <w:tcW w:w="162"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105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129,443 </w:t>
            </w:r>
          </w:p>
        </w:tc>
        <w:tc>
          <w:tcPr>
            <w:tcW w:w="115"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120,564 </w:t>
            </w:r>
          </w:p>
        </w:tc>
        <w:tc>
          <w:tcPr>
            <w:tcW w:w="162"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1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10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82,500 </w:t>
            </w:r>
          </w:p>
        </w:tc>
        <w:tc>
          <w:tcPr>
            <w:tcW w:w="11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87,301 </w:t>
            </w:r>
          </w:p>
        </w:tc>
        <w:tc>
          <w:tcPr>
            <w:tcW w:w="16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0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25,008 </w:t>
            </w:r>
          </w:p>
        </w:tc>
        <w:tc>
          <w:tcPr>
            <w:tcW w:w="11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24,769 </w:t>
            </w:r>
          </w:p>
        </w:tc>
        <w:tc>
          <w:tcPr>
            <w:tcW w:w="16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05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133,935 </w:t>
            </w:r>
          </w:p>
        </w:tc>
        <w:tc>
          <w:tcPr>
            <w:tcW w:w="115"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143,293 </w:t>
            </w:r>
          </w:p>
        </w:tc>
        <w:tc>
          <w:tcPr>
            <w:tcW w:w="162"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from operations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(4,492)</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(22,729)</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income, net</w:t>
            </w:r>
          </w:p>
        </w:tc>
        <w:tc>
          <w:tcPr>
            <w:tcW w:w="116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0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1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6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other income, net</w:t>
            </w:r>
          </w:p>
        </w:tc>
        <w:tc>
          <w:tcPr>
            <w:tcW w:w="105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3,658 </w:t>
            </w:r>
          </w:p>
        </w:tc>
        <w:tc>
          <w:tcPr>
            <w:tcW w:w="115"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5,417 </w:t>
            </w:r>
          </w:p>
        </w:tc>
        <w:tc>
          <w:tcPr>
            <w:tcW w:w="162"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before taxes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(17,312)</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10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w:t>
            </w:r>
          </w:p>
        </w:tc>
        <w:tc>
          <w:tcPr>
            <w:tcW w:w="11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w:t>
            </w:r>
          </w:p>
        </w:tc>
        <w:tc>
          <w:tcPr>
            <w:tcW w:w="16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(18,339)</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Net loss per share </w:t>
            </w:r>
          </w:p>
        </w:tc>
        <w:tc>
          <w:tcPr>
            <w:tcW w:w="1166"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Basic and diluted</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Weighted-average shares used in computing net loss per share </w:t>
            </w:r>
          </w:p>
        </w:tc>
        <w:tc>
          <w:tcPr>
            <w:tcW w:w="1166"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Basic and diluted</w:t>
            </w:r>
          </w:p>
        </w:tc>
        <w:tc>
          <w:tcPr>
            <w:tcW w:w="105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148,027,183 </w:t>
            </w:r>
          </w:p>
        </w:tc>
        <w:tc>
          <w:tcPr>
            <w:tcW w:w="1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156,570,426 </w:t>
            </w:r>
          </w:p>
        </w:tc>
        <w:tc>
          <w:tcPr>
            <w:tcW w:w="16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Udemy,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Loss</w:t>
      </w:r>
    </w:p>
    <w:p>
      <w:pPr>
        <w:pStyle w:val="TextBody"/>
        <w:bidi w:val="0"/>
        <w:spacing w:lineRule="auto" w:line="288" w:before="0" w:after="0"/>
        <w:jc w:val="center"/>
        <w:rPr/>
      </w:pPr>
      <w:r>
        <w:rPr>
          <w:rFonts w:ascii="Arial;sans-serif" w:hAnsi="Arial;sans-serif"/>
          <w:b w:val="false"/>
          <w:color w:val="000000"/>
          <w:sz w:val="20"/>
        </w:rPr>
        <w:t>(</w:t>
      </w:r>
      <w:r>
        <w:rPr>
          <w:rFonts w:ascii="Arial;sans-serif" w:hAnsi="Arial;sans-serif"/>
          <w:b w:val="false"/>
          <w:i/>
          <w:color w:val="000000"/>
          <w:sz w:val="20"/>
        </w:rPr>
        <w:t>in thousands</w:t>
      </w:r>
      <w:r>
        <w:rPr>
          <w:rFonts w:ascii="Arial;sans-serif" w:hAnsi="Arial;sans-serif"/>
          <w:b w:val="false"/>
          <w:color w:val="000000"/>
          <w:sz w:val="20"/>
        </w:rPr>
        <w:t>)</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(unaudited)</w:t>
      </w:r>
    </w:p>
    <w:p>
      <w:pPr>
        <w:pStyle w:val="TextBody"/>
        <w:bidi w:val="0"/>
        <w:spacing w:before="0" w:after="0"/>
        <w:jc w:val="center"/>
        <w:rPr/>
      </w:pPr>
      <w:r>
        <w:rPr/>
      </w:r>
    </w:p>
    <w:tbl>
      <w:tblPr>
        <w:tblW w:w="7647" w:type="dxa"/>
        <w:jc w:val="center"/>
        <w:tblInd w:w="0" w:type="dxa"/>
        <w:tblLayout w:type="fixed"/>
        <w:tblCellMar>
          <w:top w:w="28" w:type="dxa"/>
          <w:left w:w="28" w:type="dxa"/>
          <w:bottom w:w="28" w:type="dxa"/>
          <w:right w:w="28" w:type="dxa"/>
        </w:tblCellMar>
      </w:tblPr>
      <w:tblGrid>
        <w:gridCol w:w="1822"/>
        <w:gridCol w:w="1605"/>
        <w:gridCol w:w="1627"/>
        <w:gridCol w:w="218"/>
        <w:gridCol w:w="701"/>
        <w:gridCol w:w="121"/>
        <w:gridCol w:w="121"/>
        <w:gridCol w:w="121"/>
        <w:gridCol w:w="121"/>
        <w:gridCol w:w="218"/>
        <w:gridCol w:w="801"/>
        <w:gridCol w:w="171"/>
      </w:tblGrid>
      <w:tr>
        <w:trPr/>
        <w:tc>
          <w:tcPr>
            <w:tcW w:w="1822"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0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w:t>
            </w:r>
          </w:p>
        </w:tc>
        <w:tc>
          <w:tcPr>
            <w:tcW w:w="2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(1,771)</w:t>
            </w:r>
          </w:p>
        </w:tc>
        <w:tc>
          <w:tcPr>
            <w:tcW w:w="1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(18,339)</w:t>
            </w:r>
          </w:p>
        </w:tc>
        <w:tc>
          <w:tcPr>
            <w:tcW w:w="1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Foreign currency translation gain (loss), net of tax</w:t>
            </w:r>
          </w:p>
        </w:tc>
        <w:tc>
          <w:tcPr>
            <w:tcW w:w="9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Change in unrealized gain (loss) on marketable securities, net of tax</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other comprehensive loss</w:t>
            </w:r>
          </w:p>
        </w:tc>
        <w:tc>
          <w:tcPr>
            <w:tcW w:w="91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c>
          <w:tcPr>
            <w:tcW w:w="1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Comprehensive loss</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(1,775)</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(18,493)</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Udemy,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jc w:val="center"/>
        <w:rPr/>
      </w:pPr>
      <w:r>
        <w:rPr>
          <w:rFonts w:ascii="Arial;sans-serif" w:hAnsi="Arial;sans-serif"/>
          <w:b w:val="false"/>
          <w:color w:val="000000"/>
          <w:sz w:val="20"/>
        </w:rPr>
        <w:t>(</w:t>
      </w:r>
      <w:r>
        <w:rPr>
          <w:rFonts w:ascii="Arial;sans-serif" w:hAnsi="Arial;sans-serif"/>
          <w:b w:val="false"/>
          <w:i/>
          <w:color w:val="000000"/>
          <w:sz w:val="20"/>
        </w:rPr>
        <w:t>in thousands, except share amounts</w:t>
      </w:r>
      <w:r>
        <w:rPr>
          <w:rFonts w:ascii="Arial;sans-serif" w:hAnsi="Arial;sans-serif"/>
          <w:b w:val="false"/>
          <w:color w:val="000000"/>
          <w:sz w:val="20"/>
        </w:rPr>
        <w:t>)</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881"/>
        <w:gridCol w:w="738"/>
        <w:gridCol w:w="740"/>
        <w:gridCol w:w="458"/>
        <w:gridCol w:w="458"/>
        <w:gridCol w:w="186"/>
        <w:gridCol w:w="109"/>
        <w:gridCol w:w="109"/>
        <w:gridCol w:w="109"/>
        <w:gridCol w:w="205"/>
        <w:gridCol w:w="256"/>
        <w:gridCol w:w="125"/>
        <w:gridCol w:w="109"/>
        <w:gridCol w:w="109"/>
        <w:gridCol w:w="109"/>
        <w:gridCol w:w="181"/>
        <w:gridCol w:w="766"/>
        <w:gridCol w:w="109"/>
        <w:gridCol w:w="109"/>
        <w:gridCol w:w="109"/>
        <w:gridCol w:w="109"/>
        <w:gridCol w:w="458"/>
        <w:gridCol w:w="763"/>
        <w:gridCol w:w="277"/>
        <w:gridCol w:w="109"/>
        <w:gridCol w:w="109"/>
        <w:gridCol w:w="109"/>
        <w:gridCol w:w="181"/>
        <w:gridCol w:w="665"/>
        <w:gridCol w:w="109"/>
        <w:gridCol w:w="109"/>
        <w:gridCol w:w="109"/>
        <w:gridCol w:w="109"/>
        <w:gridCol w:w="185"/>
        <w:gridCol w:w="664"/>
        <w:gridCol w:w="165"/>
      </w:tblGrid>
      <w:tr>
        <w:trPr/>
        <w:tc>
          <w:tcPr>
            <w:tcW w:w="88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Accumulated </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Total</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Stockholders’</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 xml:space="preserve">Equity </w:t>
            </w:r>
          </w:p>
        </w:tc>
      </w:tr>
      <w:tr>
        <w:trPr/>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Balance—December 31, 2024</w:t>
            </w:r>
          </w:p>
        </w:tc>
        <w:tc>
          <w:tcPr>
            <w:tcW w:w="9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147,484,280 </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1,002,390 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2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(804,986)</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197,394 </w:t>
            </w:r>
          </w:p>
        </w:tc>
        <w:tc>
          <w:tcPr>
            <w:tcW w:w="16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19,661 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Exercise of stock options</w:t>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148,557 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Vesting of restricted stock units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1,554,329 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Shares withheld related to net share settlement of equity awards</w:t>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(702,060)</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(5,957)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(5,957)</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Other comprehensive loss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w:t>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(1,771)</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Balance—March 31, 2025</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148,485,106 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1,016,130 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(806,757)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209,359 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Balance—December 31, 2023</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157,166,360 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1,076,508 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(719,698)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356,892 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25,066 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Exercise of stock options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780,998 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Vesting of restricted stock units</w:t>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1,748,589 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Shares withheld related to net share settlement of equity awards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(1,142,081)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(11,712)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Repurchases of common stock</w:t>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(4,962,145)</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(55,511)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(55,511)</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loss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w:t>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(18,339)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(18,339)</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Balance—March 31, 2024</w:t>
            </w:r>
          </w:p>
        </w:tc>
        <w:tc>
          <w:tcPr>
            <w:tcW w:w="9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153,591,721 </w:t>
            </w:r>
          </w:p>
        </w:tc>
        <w:tc>
          <w:tcPr>
            <w:tcW w:w="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1,034,603 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w:t>
            </w:r>
          </w:p>
        </w:tc>
        <w:tc>
          <w:tcPr>
            <w:tcW w:w="2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(738,037)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296,494 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Udemy,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pPr>
      <w:r>
        <w:rPr>
          <w:rFonts w:ascii="Arial;sans-serif" w:hAnsi="Arial;sans-serif"/>
          <w:b w:val="false"/>
          <w:color w:val="000000"/>
          <w:sz w:val="20"/>
        </w:rPr>
        <w:t>(</w:t>
      </w:r>
      <w:r>
        <w:rPr>
          <w:rFonts w:ascii="Arial;sans-serif" w:hAnsi="Arial;sans-serif"/>
          <w:b w:val="false"/>
          <w:i/>
          <w:color w:val="000000"/>
          <w:sz w:val="20"/>
        </w:rPr>
        <w:t>in thousands</w:t>
      </w:r>
      <w:r>
        <w:rPr>
          <w:rFonts w:ascii="Arial;sans-serif" w:hAnsi="Arial;sans-serif"/>
          <w:b w:val="false"/>
          <w:color w:val="000000"/>
          <w:sz w:val="20"/>
        </w:rPr>
        <w:t>)</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(unaudited)</w:t>
      </w:r>
    </w:p>
    <w:tbl>
      <w:tblPr>
        <w:tblW w:w="8307" w:type="dxa"/>
        <w:jc w:val="left"/>
        <w:tblInd w:w="0" w:type="dxa"/>
        <w:tblLayout w:type="fixed"/>
        <w:tblCellMar>
          <w:top w:w="28" w:type="dxa"/>
          <w:left w:w="28" w:type="dxa"/>
          <w:bottom w:w="28" w:type="dxa"/>
          <w:right w:w="28" w:type="dxa"/>
        </w:tblCellMar>
      </w:tblPr>
      <w:tblGrid>
        <w:gridCol w:w="2071"/>
        <w:gridCol w:w="1819"/>
        <w:gridCol w:w="1825"/>
        <w:gridCol w:w="207"/>
        <w:gridCol w:w="778"/>
        <w:gridCol w:w="115"/>
        <w:gridCol w:w="115"/>
        <w:gridCol w:w="115"/>
        <w:gridCol w:w="115"/>
        <w:gridCol w:w="207"/>
        <w:gridCol w:w="778"/>
        <w:gridCol w:w="162"/>
      </w:tblGrid>
      <w:tr>
        <w:trPr/>
        <w:tc>
          <w:tcPr>
            <w:tcW w:w="2071"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71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1100"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(18,339)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Adjustments to reconcile net loss to net cash provided by operating activities:</w:t>
            </w:r>
          </w:p>
        </w:tc>
        <w:tc>
          <w:tcPr>
            <w:tcW w:w="1100"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Amortization of deferred contract costs</w:t>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15,620 </w:t>
            </w:r>
          </w:p>
        </w:tc>
        <w:tc>
          <w:tcPr>
            <w:tcW w:w="11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14,041 </w:t>
            </w:r>
          </w:p>
        </w:tc>
        <w:tc>
          <w:tcPr>
            <w:tcW w:w="16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losses</w:t>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2,101 </w:t>
            </w:r>
          </w:p>
        </w:tc>
        <w:tc>
          <w:tcPr>
            <w:tcW w:w="11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743 </w:t>
            </w:r>
          </w:p>
        </w:tc>
        <w:tc>
          <w:tcPr>
            <w:tcW w:w="16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(accretion) amortization of marketable securities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operating lease expense</w:t>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915 </w:t>
            </w:r>
          </w:p>
        </w:tc>
        <w:tc>
          <w:tcPr>
            <w:tcW w:w="11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1,487 </w:t>
            </w:r>
          </w:p>
        </w:tc>
        <w:tc>
          <w:tcPr>
            <w:tcW w:w="16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1100"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(25,057)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(4,106)</w:t>
            </w:r>
          </w:p>
        </w:tc>
        <w:tc>
          <w:tcPr>
            <w:tcW w:w="11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(5,046)</w:t>
            </w:r>
          </w:p>
        </w:tc>
        <w:tc>
          <w:tcPr>
            <w:tcW w:w="16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contract costs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(19,495)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(18,081)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accrued expenses and other liabilities</w:t>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(9,975)</w:t>
            </w:r>
          </w:p>
        </w:tc>
        <w:tc>
          <w:tcPr>
            <w:tcW w:w="11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(1,145)</w:t>
            </w:r>
          </w:p>
        </w:tc>
        <w:tc>
          <w:tcPr>
            <w:tcW w:w="16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Content costs payable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w:t>
            </w:r>
          </w:p>
        </w:tc>
        <w:tc>
          <w:tcPr>
            <w:tcW w:w="11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(2,423)</w:t>
            </w:r>
          </w:p>
        </w:tc>
        <w:tc>
          <w:tcPr>
            <w:tcW w:w="16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985"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12,210 </w:t>
            </w:r>
          </w:p>
        </w:tc>
        <w:tc>
          <w:tcPr>
            <w:tcW w:w="115"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20,969 </w:t>
            </w:r>
          </w:p>
        </w:tc>
        <w:tc>
          <w:tcPr>
            <w:tcW w:w="162"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marketable securities</w:t>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(78,644)</w:t>
            </w:r>
          </w:p>
        </w:tc>
        <w:tc>
          <w:tcPr>
            <w:tcW w:w="11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(89,462)</w:t>
            </w:r>
          </w:p>
        </w:tc>
        <w:tc>
          <w:tcPr>
            <w:tcW w:w="16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maturities of marketable securities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89,150 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(2,381)</w:t>
            </w:r>
          </w:p>
        </w:tc>
        <w:tc>
          <w:tcPr>
            <w:tcW w:w="11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w:t>
            </w:r>
          </w:p>
        </w:tc>
        <w:tc>
          <w:tcPr>
            <w:tcW w:w="16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software costs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985"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(7,414)</w:t>
            </w:r>
          </w:p>
        </w:tc>
        <w:tc>
          <w:tcPr>
            <w:tcW w:w="115"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(3,770)</w:t>
            </w:r>
          </w:p>
        </w:tc>
        <w:tc>
          <w:tcPr>
            <w:tcW w:w="162"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proceeds from exercise of stock options</w:t>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1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16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Taxes paid related to net share settlement of equity awards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(11,634)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(55,144)</w:t>
            </w:r>
          </w:p>
        </w:tc>
        <w:tc>
          <w:tcPr>
            <w:tcW w:w="16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cash used in financing activities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(5,907)</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(66,465)</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foreign exchange rates on cash flows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decrease in cash, cash equivalents and restricted cash</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(49,316)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DDDDDD"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6"/>
              </w:rPr>
              <w:t>Cash, cash equivalents and restricted cash</w:t>
            </w:r>
            <w:r>
              <w:rPr>
                <w:color w:val="000000"/>
              </w:rPr>
              <w:t>—</w:t>
            </w:r>
            <w:r>
              <w:rPr>
                <w:rFonts w:ascii="Arial;sans-serif" w:hAnsi="Arial;sans-serif"/>
                <w:b w:val="false"/>
                <w:color w:val="000000"/>
                <w:sz w:val="16"/>
              </w:rPr>
              <w:t>Beginning of period</w:t>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191,807 </w:t>
            </w:r>
          </w:p>
        </w:tc>
        <w:tc>
          <w:tcPr>
            <w:tcW w:w="11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309,552 </w:t>
            </w:r>
          </w:p>
        </w:tc>
        <w:tc>
          <w:tcPr>
            <w:tcW w:w="16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6"/>
              </w:rPr>
              <w:t>Cash, cash equivalents and restricted cash</w:t>
            </w:r>
            <w:r>
              <w:rPr>
                <w:color w:val="000000"/>
              </w:rPr>
              <w:t>—</w:t>
            </w:r>
            <w:r>
              <w:rPr>
                <w:rFonts w:ascii="Arial;sans-serif" w:hAnsi="Arial;sans-serif"/>
                <w:b w:val="false"/>
                <w:color w:val="000000"/>
                <w:sz w:val="16"/>
              </w:rPr>
              <w:t>End of period</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190,732 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260,236 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tbl>
      <w:tblPr>
        <w:tblW w:w="8412" w:type="dxa"/>
        <w:jc w:val="center"/>
        <w:tblInd w:w="0" w:type="dxa"/>
        <w:tblLayout w:type="fixed"/>
        <w:tblCellMar>
          <w:top w:w="28" w:type="dxa"/>
          <w:left w:w="28" w:type="dxa"/>
          <w:bottom w:w="28" w:type="dxa"/>
          <w:right w:w="28" w:type="dxa"/>
        </w:tblCellMar>
      </w:tblPr>
      <w:tblGrid>
        <w:gridCol w:w="2109"/>
        <w:gridCol w:w="1851"/>
        <w:gridCol w:w="1860"/>
        <w:gridCol w:w="207"/>
        <w:gridCol w:w="778"/>
        <w:gridCol w:w="115"/>
        <w:gridCol w:w="115"/>
        <w:gridCol w:w="115"/>
        <w:gridCol w:w="115"/>
        <w:gridCol w:w="207"/>
        <w:gridCol w:w="778"/>
        <w:gridCol w:w="162"/>
      </w:tblGrid>
      <w:tr>
        <w:trPr/>
        <w:tc>
          <w:tcPr>
            <w:tcW w:w="2109"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2024</w:t>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cash, cash equivalents and restricted cash:</w:t>
            </w:r>
          </w:p>
        </w:tc>
        <w:tc>
          <w:tcPr>
            <w:tcW w:w="110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189,617 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256,807 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current</w:t>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3,329 </w:t>
            </w:r>
          </w:p>
        </w:tc>
        <w:tc>
          <w:tcPr>
            <w:tcW w:w="162"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non-current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cash, cash equivalents and restricted cash</w:t>
            </w:r>
          </w:p>
        </w:tc>
        <w:tc>
          <w:tcPr>
            <w:tcW w:w="2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190,732 </w:t>
            </w:r>
          </w:p>
        </w:tc>
        <w:tc>
          <w:tcPr>
            <w:tcW w:w="1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260,236 </w:t>
            </w:r>
          </w:p>
        </w:tc>
        <w:tc>
          <w:tcPr>
            <w:tcW w:w="16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disclosures of cash flow information:</w:t>
            </w:r>
          </w:p>
        </w:tc>
        <w:tc>
          <w:tcPr>
            <w:tcW w:w="11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paid</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paid</w:t>
            </w:r>
          </w:p>
        </w:tc>
        <w:tc>
          <w:tcPr>
            <w:tcW w:w="20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disclosure of non-cash investing and financing activities:</w:t>
            </w:r>
          </w:p>
        </w:tc>
        <w:tc>
          <w:tcPr>
            <w:tcW w:w="11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in capitalized costs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change in unrealized gain (loss) on marketable securities</w:t>
            </w:r>
          </w:p>
        </w:tc>
        <w:tc>
          <w:tcPr>
            <w:tcW w:w="20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purchases of property and equipment included in liabilities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Udemy,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4"/>
          <w:shd w:fill="FFFFFF" w:val="clear"/>
        </w:rPr>
      </w:pPr>
      <w:r>
        <w:rPr>
          <w:rFonts w:ascii="Arial;sans-serif" w:hAnsi="Arial;sans-serif"/>
          <w:b/>
          <w:color w:val="000000"/>
          <w:sz w:val="24"/>
          <w:shd w:fill="FFFFFF" w:val="clear"/>
        </w:rPr>
        <w:t>1. Organization and description of business</w:t>
      </w:r>
    </w:p>
    <w:p>
      <w:pPr>
        <w:pStyle w:val="TextBody"/>
        <w:bidi w:val="0"/>
        <w:spacing w:lineRule="auto" w:line="288" w:before="120" w:after="283"/>
        <w:jc w:val="left"/>
        <w:rPr>
          <w:rFonts w:ascii="Arial;sans-serif" w:hAnsi="Arial;sans-serif"/>
          <w:b/>
          <w:i/>
          <w:color w:val="000000"/>
          <w:sz w:val="20"/>
          <w:shd w:fill="FFFFFF" w:val="clear"/>
        </w:rPr>
      </w:pPr>
      <w:r>
        <w:rPr>
          <w:rFonts w:ascii="Arial;sans-serif" w:hAnsi="Arial;sans-serif"/>
          <w:b/>
          <w:i/>
          <w:color w:val="000000"/>
          <w:sz w:val="20"/>
          <w:shd w:fill="FFFFFF" w:val="clear"/>
        </w:rPr>
        <w:t>Description of business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Udemy, Inc. (“Udemy” or the “Company”) was incorporated in January 2010 under the laws of the state of Delaware. The Company is headquartered in San Francisco, California.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Udemy is a global learning company whose online platform empowers organizations and individuals with flexible and effective skill acquisition and development. The Company’s learning marketplace platform enables tens of thousands of subject matter experts to develop, distribute and enhance content that reaches Udemy’s broad global audience of learners. Udemy leverages technology, data and insights to deliver personalized and effective learning experiences. The Company further curates its highest-quality content from the marketplace for Udemy Business, which enables companies around the world to offer engaging, effective, on-demand learning for all employees, immersive laboratory-style learning for tech teams, and cohort-based learning focused on leadership development.</w:t>
      </w:r>
    </w:p>
    <w:p>
      <w:pPr>
        <w:pStyle w:val="TextBody"/>
        <w:bidi w:val="0"/>
        <w:spacing w:lineRule="auto" w:line="288" w:before="120" w:after="283"/>
        <w:jc w:val="left"/>
        <w:rPr>
          <w:rFonts w:ascii="Arial;sans-serif" w:hAnsi="Arial;sans-serif"/>
          <w:b/>
          <w:i/>
          <w:color w:val="000000"/>
          <w:sz w:val="20"/>
          <w:shd w:fill="FFFFFF" w:val="clear"/>
        </w:rPr>
      </w:pPr>
      <w:r>
        <w:rPr>
          <w:rFonts w:ascii="Arial;sans-serif" w:hAnsi="Arial;sans-serif"/>
          <w:b/>
          <w:i/>
          <w:color w:val="000000"/>
          <w:sz w:val="20"/>
          <w:shd w:fill="FFFFFF" w:val="clear"/>
        </w:rPr>
        <w:t>Leadership Transition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Effective March 12, 2025, the Company’s Board of Directors appointed Hugo Sarrazin to succeed Greg Brown as the Company’s President and Chief Executive Officer. As of the same date, the Board appointed Mr. Sarrazin to serve as a Class III director, with a term expiring at our 2027 annual meeting of stockholders. Pursuant to the terms of his offer letter, the Board granted Mr. Sarrazin a new hire equity award consisting of 1,062,055 restricted stock units (“RSUs”). One third of the RSUs vest after one year, and the remaining two thirds will vest equally over the following 8 quarters, subject to continual service.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Effective March 12, 2025, Mr. Brown ceased to be the Company’s President and Chief Executive Officer. He is expected to maintain status as a full-time, non-executive employee through June 30, 2025, at which time, subject to the parties’ execution of a separation agreement and release of claims, Mr. Brown is expected to become eligible to receive certain benefits pursuant to his change in control and severance agreement. Provided that Mr. Brown remains employed by the Company through June 30, 2025 and both parties sign the separation agreement referenced above, the Company and Mr. Brown have agreed that Mr. Brown will continue his relationship with the Company as a consultant pursuant to a consulting agreement, the term of which will commence immediately following Mr. Brown’s last day of employment. The consulting agreement will expire on December 31, 2025, unless terminated earlier in accordance with its terms. Mr. Brown’s existing equity incentive awards will continue to vest during the term of the consulting period, and he will continue to be deemed a service provider for purposes of the Company’s equity incentive plans. The Company determined that there was a substantive reduction in the scope of services to be provided by Mr. Brown subsequent to March 12, 2025. As a result, the Company recognized $0.9 million in severance and personnel costs and $1.2 million in stock-based compensation within general and administrative expenses in the Company’s condensed consolidated statement of operations during the three months ended March 31, 2025, that would have otherwise been recognized from April 2025 to December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4"/>
        </w:rPr>
      </w:pPr>
      <w:r>
        <w:rPr>
          <w:rFonts w:ascii="Arial;sans-serif" w:hAnsi="Arial;sans-serif"/>
          <w:b/>
          <w:color w:val="000000"/>
          <w:sz w:val="24"/>
        </w:rPr>
        <w:t>2. Summary of significant accounting policies</w:t>
      </w:r>
    </w:p>
    <w:p>
      <w:pPr>
        <w:pStyle w:val="TextBody"/>
        <w:bidi w:val="0"/>
        <w:spacing w:lineRule="auto" w:line="288" w:before="120" w:after="283"/>
        <w:jc w:val="left"/>
        <w:rPr/>
      </w:pPr>
      <w:r>
        <w:rPr>
          <w:rFonts w:ascii="Arial;sans-serif" w:hAnsi="Arial;sans-serif"/>
          <w:b/>
          <w:i/>
          <w:color w:val="000000"/>
          <w:sz w:val="20"/>
          <w:shd w:fill="FFFFFF" w:val="clear"/>
        </w:rPr>
        <w:t>Basis of consolidation and presentation</w:t>
      </w:r>
      <w:r>
        <w:rPr>
          <w:color w:val="000000"/>
          <w:shd w:fill="FFFFFF" w:val="clear"/>
        </w:rPr>
        <w:t xml:space="preserve">— </w:t>
      </w:r>
      <w:r>
        <w:rPr>
          <w:rFonts w:ascii="Arial;sans-serif" w:hAnsi="Arial;sans-serif"/>
          <w:b w:val="false"/>
          <w:color w:val="000000"/>
          <w:sz w:val="20"/>
          <w:shd w:fill="FFFFFF" w:val="clear"/>
        </w:rPr>
        <w:t xml:space="preserve">The accompanying condensed consolidated financial statements have been prepared in accordance with accounting principles generally accepted in the United States of America (“GAAP”). The condensed consolidated financial statements include the accounts of the Company and its wholly owned subsidiaries. All intercompany transactions and balances have been eliminated in consolidation, and all other normal and recurring adjustments that are, in the opinion of management, necessary for a fair presentation of the results of the periods presented have been made.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jc w:val="left"/>
        <w:rPr/>
      </w:pPr>
      <w:r>
        <w:rPr>
          <w:rFonts w:ascii="Arial;sans-serif" w:hAnsi="Arial;sans-serif"/>
          <w:b/>
          <w:i/>
          <w:color w:val="000000"/>
          <w:sz w:val="20"/>
          <w:shd w:fill="FFFFFF" w:val="clear"/>
        </w:rPr>
        <w:t>Segment information</w:t>
      </w:r>
      <w:r>
        <w:rPr>
          <w:color w:val="000000"/>
          <w:shd w:fill="FFFFFF" w:val="clear"/>
        </w:rPr>
        <w:t xml:space="preserve">— </w:t>
      </w:r>
      <w:r>
        <w:rPr>
          <w:rFonts w:ascii="Arial;sans-serif" w:hAnsi="Arial;sans-serif"/>
          <w:b w:val="false"/>
          <w:color w:val="000000"/>
          <w:sz w:val="20"/>
          <w:shd w:fill="FFFFFF" w:val="clear"/>
        </w:rPr>
        <w:t xml:space="preserve">On March 12, 2025, Hugo Sarrazin became the Company’s new Chief Executive Officer and chief operating decision maker (“CODM”). The Company defines its segments as those operations the CODM regularly reviews to allocate resources and assess performance. For the </w:t>
      </w:r>
      <w:r>
        <w:rPr>
          <w:rFonts w:ascii="Arial;sans-serif" w:hAnsi="Arial;sans-serif"/>
          <w:b w:val="false"/>
          <w:color w:val="000000"/>
          <w:sz w:val="20"/>
        </w:rPr>
        <w:t xml:space="preserve">three months ended March 31, 2025 and </w:t>
      </w:r>
      <w:r>
        <w:rPr>
          <w:rFonts w:ascii="Arial;sans-serif" w:hAnsi="Arial;sans-serif"/>
          <w:b w:val="false"/>
          <w:color w:val="000000"/>
          <w:sz w:val="20"/>
          <w:shd w:fill="FFFFFF" w:val="clear"/>
        </w:rPr>
        <w:t>2024, the Company had two operating and reportable segments: Enterprise and Consumer. The Company continually monitors and reviews its segment reporting structure in accordance with Accounting Standards Codification (“ASC”) Topic 280, Segment Reporting, to determine whether any changes have occurred that would impact its reportable segments. For further information on the Com</w:t>
      </w:r>
      <w:r>
        <w:rPr>
          <w:rFonts w:ascii="Arial;sans-serif" w:hAnsi="Arial;sans-serif"/>
          <w:b w:val="false"/>
          <w:color w:val="000000"/>
          <w:sz w:val="20"/>
        </w:rPr>
        <w:t>pany’s segment reporting, see Note 12 – Segment and geographic information.</w:t>
      </w:r>
    </w:p>
    <w:p>
      <w:pPr>
        <w:pStyle w:val="TextBody"/>
        <w:bidi w:val="0"/>
        <w:spacing w:lineRule="auto" w:line="288" w:before="120" w:after="283"/>
        <w:jc w:val="left"/>
        <w:rPr/>
      </w:pPr>
      <w:r>
        <w:rPr>
          <w:rFonts w:ascii="Arial;sans-serif" w:hAnsi="Arial;sans-serif"/>
          <w:b/>
          <w:i/>
          <w:color w:val="000000"/>
          <w:sz w:val="20"/>
          <w:shd w:fill="FFFFFF" w:val="clear"/>
        </w:rPr>
        <w:t>Use of estimates</w:t>
      </w:r>
      <w:r>
        <w:rPr>
          <w:color w:val="000000"/>
          <w:shd w:fill="FFFFFF" w:val="clear"/>
        </w:rPr>
        <w:t xml:space="preserve">— </w:t>
      </w:r>
      <w:r>
        <w:rPr>
          <w:rFonts w:ascii="Arial;sans-serif" w:hAnsi="Arial;sans-serif"/>
          <w:b w:val="false"/>
          <w:color w:val="000000"/>
          <w:sz w:val="20"/>
          <w:shd w:fill="FFFFFF" w:val="clear"/>
        </w:rPr>
        <w:t>The preparation of condensed consolidated financial statements in conformity with GAAP requires management to make estimates and assumptions that affect the reported amounts of assets and liabilities and disclosure of contingent assets and liabilities at the dates of the condensed consolidated financial statements and the results of operations during the reporting periods.</w:t>
      </w:r>
    </w:p>
    <w:p>
      <w:pPr>
        <w:pStyle w:val="TextBody"/>
        <w:bidi w:val="0"/>
        <w:spacing w:lineRule="auto" w:line="288" w:before="120" w:after="283"/>
        <w:jc w:val="left"/>
        <w:rPr/>
      </w:pPr>
      <w:r>
        <w:rPr>
          <w:rFonts w:ascii="Arial;sans-serif" w:hAnsi="Arial;sans-serif"/>
          <w:b w:val="false"/>
          <w:color w:val="000000"/>
          <w:sz w:val="20"/>
          <w:shd w:fill="FFFFFF" w:val="clear"/>
        </w:rPr>
        <w:t>Significant estimates and assumptions reflected in the condensed consolidated financial statements include, but are not limited to, allowance for credit losses, capitalization of internally developed software and content assets and their ass</w:t>
      </w:r>
      <w:r>
        <w:rPr>
          <w:rFonts w:ascii="Arial;sans-serif" w:hAnsi="Arial;sans-serif"/>
          <w:b w:val="false"/>
          <w:color w:val="000000"/>
          <w:sz w:val="20"/>
        </w:rPr>
        <w:t>ociated useful lives, stock-based compensation, determination of the income tax valuation allowance and the potential outcome of uncertain tax positions, estimated service period for consumer single course purchases, the period of benefit for deferred commissions, t</w:t>
      </w:r>
      <w:r>
        <w:rPr>
          <w:rFonts w:ascii="Arial;sans-serif" w:hAnsi="Arial;sans-serif"/>
          <w:b w:val="false"/>
          <w:color w:val="000000"/>
          <w:sz w:val="20"/>
          <w:shd w:fill="FFFFFF" w:val="clear"/>
        </w:rPr>
        <w:t xml:space="preserve">he fair value and associated useful lives of intangible assets and goodwill acquired via business combinations, the valuation of marketable securities and privately-held strategic investments, including impairments, and the carrying value of our </w:t>
      </w:r>
      <w:r>
        <w:rPr>
          <w:rFonts w:ascii="Arial;sans-serif" w:hAnsi="Arial;sans-serif"/>
          <w:b w:val="false"/>
          <w:color w:val="000000"/>
          <w:sz w:val="20"/>
        </w:rPr>
        <w:t>operating lease right-of-use (“ROU”)</w:t>
      </w:r>
      <w:r>
        <w:rPr>
          <w:color w:val="000000"/>
          <w:shd w:fill="FFFFFF" w:val="clear"/>
        </w:rPr>
        <w:t xml:space="preserve"> </w:t>
      </w:r>
      <w:r>
        <w:rPr>
          <w:rFonts w:ascii="Arial;sans-serif" w:hAnsi="Arial;sans-serif"/>
          <w:b w:val="false"/>
          <w:color w:val="000000"/>
          <w:sz w:val="20"/>
          <w:shd w:fill="FFFFFF" w:val="clear"/>
        </w:rPr>
        <w:t>assets. Management periodically evaluates such estimates and assumptions for continued reasonableness.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Actual results may ultimately differ from management’s estimates and such differences could be material to the Company’s financial position and results of operations.</w:t>
      </w:r>
    </w:p>
    <w:p>
      <w:pPr>
        <w:pStyle w:val="TextBody"/>
        <w:bidi w:val="0"/>
        <w:spacing w:lineRule="auto" w:line="288" w:before="120" w:after="283"/>
        <w:jc w:val="left"/>
        <w:rPr/>
      </w:pPr>
      <w:r>
        <w:rPr>
          <w:rFonts w:ascii="Arial;sans-serif" w:hAnsi="Arial;sans-serif"/>
          <w:b/>
          <w:i/>
          <w:color w:val="000000"/>
          <w:sz w:val="20"/>
          <w:shd w:fill="FFFFFF" w:val="clear"/>
        </w:rPr>
        <w:t>Concentration of credit risk</w:t>
      </w:r>
      <w:r>
        <w:rPr>
          <w:color w:val="000000"/>
          <w:shd w:fill="FFFFFF" w:val="clear"/>
        </w:rPr>
        <w:t xml:space="preserve">— </w:t>
      </w:r>
      <w:r>
        <w:rPr>
          <w:rFonts w:ascii="Arial;sans-serif" w:hAnsi="Arial;sans-serif"/>
          <w:b w:val="false"/>
          <w:color w:val="000000"/>
          <w:sz w:val="20"/>
          <w:shd w:fill="FFFFFF" w:val="clear"/>
        </w:rPr>
        <w:t>Financial instruments that potentially subject the Company to concentrations of credit risk consist primarily of cash and cash equivalents, marketable securities, restricted cash, and accounts receivable. For cash and restricted cash, the Company is exposed to credit risk in the event of default by the financial institutions to the extent the amounts recorded on the accompanying condensed consolidated balance sheets are in excess of federal insurance limits. The Company’s investments that are classified as cash equivalents and marketable securities consist of high-credit-quality instruments and fixed-income securities.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generally does not require collateral or other security in support of accounts receivable. To reduce credit risk, management performs ongoing evaluations of its customers’ financial condition and maintains an allowance based upon expected credit losses of outstanding receivables. The Company had one customer, a reseller partner for the Enterprise segment, who accounted for more than 10% of accounts receivable as of March 31, 2025. The Company had no customers who accounted for more than 10% of total accounts receivable as of December 31, 2024. No customer accounted for more than 10% of total revenue during the three months ended March 31, 2025 or 2024.</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Summary of significant ac</w:t>
      </w:r>
      <w:r>
        <w:rPr>
          <w:rFonts w:ascii="Arial;sans-serif" w:hAnsi="Arial;sans-serif"/>
          <w:b/>
          <w:i/>
          <w:color w:val="000000"/>
          <w:sz w:val="20"/>
          <w:shd w:fill="FFFFFF" w:val="clear"/>
        </w:rPr>
        <w:t xml:space="preserve">counting policies— </w:t>
      </w:r>
      <w:r>
        <w:rPr>
          <w:rFonts w:ascii="Arial;sans-serif" w:hAnsi="Arial;sans-serif"/>
          <w:b w:val="false"/>
          <w:color w:val="000000"/>
          <w:sz w:val="20"/>
          <w:shd w:fill="FFFFFF" w:val="clear"/>
        </w:rPr>
        <w:t>There have been no significant changes to the policies as disclosed in Note 2 – Summary of significant accounting policies of the Company’s Annual Report on Form 10-K for the fiscal year ended December 31, 2024, which was filed with the SEC on February 19, 2025 (the “Annual Report”), other than those discussed below.</w:t>
      </w:r>
    </w:p>
    <w:p>
      <w:pPr>
        <w:pStyle w:val="TextBody"/>
        <w:bidi w:val="0"/>
        <w:spacing w:lineRule="auto" w:line="288" w:before="120" w:after="283"/>
        <w:jc w:val="both"/>
        <w:rPr/>
      </w:pPr>
      <w:r>
        <w:rPr>
          <w:rFonts w:ascii="Arial;sans-serif" w:hAnsi="Arial;sans-serif"/>
          <w:b/>
          <w:i/>
          <w:color w:val="000000"/>
          <w:sz w:val="20"/>
          <w:shd w:fill="FFFFFF" w:val="clear"/>
        </w:rPr>
        <w:t>Accounts receivable, net</w:t>
      </w:r>
      <w:r>
        <w:rPr>
          <w:color w:val="000000"/>
          <w:shd w:fill="FFFFFF" w:val="clear"/>
        </w:rPr>
        <w:t xml:space="preserve">— </w:t>
      </w:r>
      <w:r>
        <w:rPr>
          <w:rFonts w:ascii="Arial;sans-serif" w:hAnsi="Arial;sans-serif"/>
          <w:b w:val="false"/>
          <w:color w:val="000000"/>
          <w:sz w:val="20"/>
          <w:shd w:fill="FFFFFF" w:val="clear"/>
        </w:rPr>
        <w:t xml:space="preserve">Accounts receivable primarily represent amounts owed to the Company for Enterprise subscriptions. Also included in accounts receivable are amounts due from payment processors or mobile application store partners that settle over a period longer than five business days. Accounts receivable balances are recorded at the invoiced amount and are non-interest-bearing. Accounts receivable is presented net of allowance for credit losses in the accompanying condensed consolidated balance sheets.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maintains an allowance based upon expected credit losses of outstanding receivables. Management derives its estimate using a variety of factors, including historical collection and loss patterns; the current aging of receivables; geographic and other customer-specific credit risk factors; and reasonable and supportable forecasts of future economic conditions which inform adjustments to historical loss patterns. The provision for expected credit losses is recorded in general and administrative expenses in the accompanying condensed consolidated statements of operations. Accounts receivable deemed to be uncollectible are written off, net of expected or actual recoveries.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806"/>
        <w:gridCol w:w="710"/>
        <w:gridCol w:w="712"/>
        <w:gridCol w:w="396"/>
        <w:gridCol w:w="1129"/>
        <w:gridCol w:w="223"/>
        <w:gridCol w:w="109"/>
        <w:gridCol w:w="109"/>
        <w:gridCol w:w="109"/>
        <w:gridCol w:w="303"/>
        <w:gridCol w:w="862"/>
        <w:gridCol w:w="170"/>
        <w:gridCol w:w="109"/>
        <w:gridCol w:w="109"/>
        <w:gridCol w:w="109"/>
        <w:gridCol w:w="635"/>
        <w:gridCol w:w="1412"/>
        <w:gridCol w:w="355"/>
        <w:gridCol w:w="109"/>
        <w:gridCol w:w="109"/>
        <w:gridCol w:w="109"/>
        <w:gridCol w:w="325"/>
        <w:gridCol w:w="923"/>
        <w:gridCol w:w="263"/>
      </w:tblGrid>
      <w:tr>
        <w:trPr/>
        <w:tc>
          <w:tcPr>
            <w:tcW w:w="8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Charged to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Charges Utilized/Written-off, Net of 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Balance at End of Period</w:t>
            </w:r>
          </w:p>
        </w:tc>
      </w:tr>
      <w:tr>
        <w:trPr/>
        <w:tc>
          <w:tcPr>
            <w:tcW w:w="22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Allowance for credit losses (in thousands)</w:t>
            </w:r>
          </w:p>
        </w:tc>
        <w:tc>
          <w:tcPr>
            <w:tcW w:w="174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Three Months Ended March 31, 2025</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Three Months Ended March 31, 2024</w:t>
            </w:r>
          </w:p>
        </w:tc>
        <w:tc>
          <w:tcPr>
            <w:tcW w:w="3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1,270 </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1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w:t>
            </w:r>
          </w:p>
        </w:tc>
        <w:tc>
          <w:tcPr>
            <w:tcW w:w="3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1,600 </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i/>
          <w:color w:val="000000"/>
          <w:sz w:val="20"/>
        </w:rPr>
        <w:t>Deferred contract costs—</w:t>
      </w:r>
      <w:r>
        <w:rPr>
          <w:color w:val="000000"/>
        </w:rPr>
        <w:t xml:space="preserve"> </w:t>
      </w:r>
      <w:r>
        <w:rPr>
          <w:rFonts w:ascii="Arial;sans-serif" w:hAnsi="Arial;sans-serif"/>
          <w:b w:val="false"/>
          <w:color w:val="000000"/>
          <w:sz w:val="20"/>
        </w:rPr>
        <w:t>Sales commissions earned by the Company’s sales force on both new and renewal business are considered incremental and recoverable costs of obtaining a contract with a customer. Sales commissions for new contracts and incremental sales to existing customers are deferred and then amortized on a straight-line basis over an estimated period of benefit of four years. This period of benefit was determined by taking into consideration term lengths of Enterprise customer contracts, changes and enhancements in course offerings, and other factors. Beginning January 1, 2025, the Company began paying commissions on the renewing portion of existing contracts. Commissions that are commensurate with renewal contracts are deferred and amortized on a straight-line basis over the average renewal term, which is estimated to be 18 months.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a portion of the revenue share retained by enterprise reseller partners from sales to UB customers is considered an incremental and recoverable cost of obtaining a contract with a customer. This cost is deferred and amortized on a straight-line basis over the service term of the corresponding contractual subscription term, as commissions paid to resellers on initial and renewal contracts are generally commensurate.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Amounts expected to be recognized within one year of the condensed consolidated balance sheet dates are recorded as deferred contract costs, current, while the remaining portion is recorded as deferred contract costs, non-current in the condensed consolidated balance sheets. Deferred contract costs are periodically analyzed for impairment. Amortization expense is included in sales and marketing expenses in the accompanying condensed consolidated statements of operations.</w:t>
      </w:r>
    </w:p>
    <w:p>
      <w:pPr>
        <w:pStyle w:val="TextBody"/>
        <w:bidi w:val="0"/>
        <w:spacing w:lineRule="auto" w:line="288" w:before="120" w:after="283"/>
        <w:jc w:val="left"/>
        <w:rPr/>
      </w:pPr>
      <w:r>
        <w:rPr>
          <w:rFonts w:ascii="Arial;sans-serif" w:hAnsi="Arial;sans-serif"/>
          <w:b/>
          <w:i/>
          <w:color w:val="000000"/>
          <w:sz w:val="20"/>
        </w:rPr>
        <w:t xml:space="preserve">Capitalized software, net— </w:t>
      </w:r>
      <w:r>
        <w:rPr>
          <w:rFonts w:ascii="Arial;sans-serif" w:hAnsi="Arial;sans-serif"/>
          <w:b w:val="false"/>
          <w:color w:val="000000"/>
          <w:sz w:val="20"/>
        </w:rPr>
        <w:t>The Company capitalizes costs directly associated with the development of software for internal use and certain content assets hosted on the Company's platform. Costs related to preliminary project activities and post implementation activities are expensed as incurred. Once the software or content being developed has reached the application development stage, qualifying internal and external costs are capitalized until the software or content asset is substantially complete and ready for its intended use. Once the software or content is ready for its intended use, capitalized costs are amortized on a straight-line basis over an estimated useful life, which is generally three years for internal use software and two years for content assets. The Company evaluates the useful lives of these assets and tests for impairment whenever events or changes in circumstances occur that could impact the recoverability of these assets.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Recently Adopted Accounting Pronouncements Adopted in 2025</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are no recently issued accounting pronouncements that were adopted by the Company during the three months ended March 31, 2025.</w:t>
      </w:r>
    </w:p>
    <w:p>
      <w:pPr>
        <w:pStyle w:val="TextBody"/>
        <w:bidi w:val="0"/>
        <w:spacing w:lineRule="auto" w:line="288" w:before="200" w:after="283"/>
        <w:jc w:val="left"/>
        <w:rPr>
          <w:rFonts w:ascii="Arial;sans-serif" w:hAnsi="Arial;sans-serif"/>
          <w:b/>
          <w:i/>
          <w:color w:val="000000"/>
          <w:sz w:val="20"/>
          <w:shd w:fill="FFFFFF" w:val="clear"/>
        </w:rPr>
      </w:pPr>
      <w:r>
        <w:rPr>
          <w:rFonts w:ascii="Arial;sans-serif" w:hAnsi="Arial;sans-serif"/>
          <w:b/>
          <w:i/>
          <w:color w:val="000000"/>
          <w:sz w:val="20"/>
          <w:shd w:fill="FFFFFF" w:val="clear"/>
        </w:rPr>
        <w:t>Recently Issued Accounting Pronouncements Not Yet Adopted</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 December 2023, the FASB issued ASU 2023-09, Income Taxes (Topic 740): Improvements to Income Tax Disclosures, which requires disclosure of disaggregated income taxes paid, prescribes standard categories for the components of the effective tax rate reconciliation, and modifies other income tax-related disclosures. The standard will become effective for the Company’s fiscal year ended December 31, 2025, with early adoption permitted. The Company is currently assessing the potential impact of the new standard on the Company’s condensed consolidated financial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November 2024, the FASB issued ASU 2024-03, Income Statement Reporting-Comprehensive Income-Expense Disaggregation Disclosures (Subtopic 220-40): Disaggregation of Income Statement Expenses, which requires more detailed information about the types of expenses (including employee compensation and depreciation and amortization) included within income statement expense captions. The guidance will be effective for annual reporting periods beginning after December 15, 2026, and interim reporting periods beginning after December 15, 2027, with early adoption permitted. The amendments should be applied either (1) prospectively to financial statements issued for reporting periods after the effective date or (2) retrospectively to any or all periods presented in the financial statements. The Company is currently assessing the potential impact of the new standard on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200" w:after="283"/>
        <w:ind w:left="0" w:right="0" w:hanging="360"/>
        <w:jc w:val="left"/>
        <w:rPr>
          <w:rFonts w:ascii="Arial;sans-serif" w:hAnsi="Arial;sans-serif"/>
          <w:b/>
          <w:color w:val="000000"/>
          <w:sz w:val="24"/>
          <w:shd w:fill="FFFFFF" w:val="clear"/>
        </w:rPr>
      </w:pPr>
      <w:r>
        <w:rPr>
          <w:rFonts w:ascii="Arial;sans-serif" w:hAnsi="Arial;sans-serif"/>
          <w:b/>
          <w:color w:val="000000"/>
          <w:sz w:val="24"/>
          <w:shd w:fill="FFFFFF" w:val="clear"/>
        </w:rPr>
        <w:t>3. Revenue recognition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shd w:fill="FFFFFF" w:val="clear"/>
        </w:rPr>
        <w:t>Deferred revenue</w:t>
      </w:r>
      <w:r>
        <w:rPr>
          <w:color w:val="000000"/>
          <w:shd w:fill="FFFFFF" w:val="clear"/>
        </w:rPr>
        <w:t>—</w:t>
      </w:r>
      <w:r>
        <w:rPr>
          <w:rFonts w:ascii="Arial;sans-serif" w:hAnsi="Arial;sans-serif"/>
          <w:b w:val="false"/>
          <w:color w:val="000000"/>
          <w:sz w:val="20"/>
        </w:rPr>
        <w:t>Revenue recognized for the three months ended March 31, 2025, from amounts included in deferred revenue as of December 31, 2024 was $150.9 million. Revenue recognized for the three months ended March 31, 2024, from amounts included in deferred</w:t>
      </w:r>
      <w:r>
        <w:rPr>
          <w:color w:val="000000"/>
          <w:shd w:fill="FFFFFF" w:val="clear"/>
        </w:rPr>
        <w:t xml:space="preserve"> </w:t>
      </w:r>
      <w:r>
        <w:rPr>
          <w:rFonts w:ascii="Arial;sans-serif" w:hAnsi="Arial;sans-serif"/>
          <w:b w:val="false"/>
          <w:color w:val="000000"/>
          <w:sz w:val="20"/>
          <w:shd w:fill="FFFFFF" w:val="clear"/>
        </w:rPr>
        <w:t xml:space="preserve">revenue as of </w:t>
      </w:r>
      <w:r>
        <w:rPr>
          <w:rFonts w:ascii="Arial;sans-serif" w:hAnsi="Arial;sans-serif"/>
          <w:b w:val="false"/>
          <w:color w:val="000000"/>
          <w:sz w:val="20"/>
        </w:rPr>
        <w:t xml:space="preserve">December 31, 2023 was $143.2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below table presents a summary of deferred revenue balances by reportable segment (in thousands):</w:t>
      </w:r>
    </w:p>
    <w:tbl>
      <w:tblPr>
        <w:tblW w:w="5953" w:type="dxa"/>
        <w:jc w:val="left"/>
        <w:tblInd w:w="0" w:type="dxa"/>
        <w:tblLayout w:type="fixed"/>
        <w:tblCellMar>
          <w:top w:w="28" w:type="dxa"/>
          <w:left w:w="28" w:type="dxa"/>
          <w:bottom w:w="28" w:type="dxa"/>
          <w:right w:w="28" w:type="dxa"/>
        </w:tblCellMar>
      </w:tblPr>
      <w:tblGrid>
        <w:gridCol w:w="646"/>
        <w:gridCol w:w="568"/>
        <w:gridCol w:w="571"/>
        <w:gridCol w:w="196"/>
        <w:gridCol w:w="736"/>
        <w:gridCol w:w="109"/>
        <w:gridCol w:w="109"/>
        <w:gridCol w:w="109"/>
        <w:gridCol w:w="109"/>
        <w:gridCol w:w="228"/>
        <w:gridCol w:w="859"/>
        <w:gridCol w:w="127"/>
        <w:gridCol w:w="109"/>
        <w:gridCol w:w="109"/>
        <w:gridCol w:w="109"/>
        <w:gridCol w:w="227"/>
        <w:gridCol w:w="854"/>
        <w:gridCol w:w="178"/>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December 31, </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17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Enterprise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269,006 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233,466 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220,127 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60,078 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62,287 </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deferred revenue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328,356 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293,544 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282,414 </w:t>
            </w:r>
          </w:p>
        </w:tc>
        <w:tc>
          <w:tcPr>
            <w:tcW w:w="1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shd w:fill="FFFFFF" w:val="clear"/>
        </w:rPr>
        <w:t>Remaining performance obligations</w:t>
      </w:r>
      <w:r>
        <w:rPr>
          <w:color w:val="000000"/>
          <w:shd w:fill="FFFFFF" w:val="clear"/>
        </w:rPr>
        <w:t xml:space="preserve">— </w:t>
      </w:r>
      <w:r>
        <w:rPr>
          <w:rFonts w:ascii="Arial;sans-serif" w:hAnsi="Arial;sans-serif"/>
          <w:b w:val="false"/>
          <w:color w:val="000000"/>
          <w:sz w:val="20"/>
          <w:shd w:fill="FFFFFF" w:val="clear"/>
        </w:rPr>
        <w:t>Remaining performance obligations represent the aggregate amount of the transaction price in contracts for performance obligations not delivered, or partially undelivered, as of the end of the reporting period. Remaining performance obligations primarily relate to deferred revenue as well as unbilled revenue from multi-year Enterprise subscription contracts with future installment billings, as well as unearned revenue from Consumer single course purchases and subscriptions at the end of any given period. As of March 31, 2025</w:t>
      </w:r>
      <w:r>
        <w:rPr>
          <w:rFonts w:ascii="Arial;sans-serif" w:hAnsi="Arial;sans-serif"/>
          <w:b w:val="false"/>
          <w:color w:val="000000"/>
          <w:sz w:val="20"/>
        </w:rPr>
        <w:t>, the aggregate transaction price for remaining performance obligations was $564.0 million, of which 73% is expected to be recognized over the next twelve months and the remainder thereafter.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shd w:fill="FFFFFF" w:val="clear"/>
        </w:rPr>
        <w:t>Deferred contract costs</w:t>
      </w:r>
      <w:r>
        <w:rPr>
          <w:color w:val="000000"/>
          <w:shd w:fill="FFFFFF" w:val="clear"/>
        </w:rPr>
        <w:t xml:space="preserve">— </w:t>
      </w:r>
      <w:r>
        <w:rPr>
          <w:rFonts w:ascii="Arial;sans-serif" w:hAnsi="Arial;sans-serif"/>
          <w:b w:val="false"/>
          <w:color w:val="000000"/>
          <w:sz w:val="20"/>
          <w:shd w:fill="FFFFFF" w:val="clear"/>
        </w:rPr>
        <w:t>The following table represents a roll forward of the Company’s deferred contract costs (in thousands):</w:t>
      </w:r>
    </w:p>
    <w:tbl>
      <w:tblPr>
        <w:tblW w:w="10205" w:type="dxa"/>
        <w:jc w:val="left"/>
        <w:tblInd w:w="0" w:type="dxa"/>
        <w:tblLayout w:type="fixed"/>
        <w:tblCellMar>
          <w:top w:w="28" w:type="dxa"/>
          <w:left w:w="28" w:type="dxa"/>
          <w:bottom w:w="28" w:type="dxa"/>
          <w:right w:w="28" w:type="dxa"/>
        </w:tblCellMar>
      </w:tblPr>
      <w:tblGrid>
        <w:gridCol w:w="872"/>
        <w:gridCol w:w="766"/>
        <w:gridCol w:w="774"/>
        <w:gridCol w:w="463"/>
        <w:gridCol w:w="1530"/>
        <w:gridCol w:w="258"/>
        <w:gridCol w:w="109"/>
        <w:gridCol w:w="109"/>
        <w:gridCol w:w="109"/>
        <w:gridCol w:w="196"/>
        <w:gridCol w:w="646"/>
        <w:gridCol w:w="109"/>
        <w:gridCol w:w="109"/>
        <w:gridCol w:w="109"/>
        <w:gridCol w:w="109"/>
        <w:gridCol w:w="347"/>
        <w:gridCol w:w="1176"/>
        <w:gridCol w:w="196"/>
        <w:gridCol w:w="109"/>
        <w:gridCol w:w="109"/>
        <w:gridCol w:w="109"/>
        <w:gridCol w:w="371"/>
        <w:gridCol w:w="1223"/>
        <w:gridCol w:w="297"/>
      </w:tblGrid>
      <w:tr>
        <w:trPr/>
        <w:tc>
          <w:tcPr>
            <w:tcW w:w="87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Balance at End of Period</w:t>
            </w:r>
          </w:p>
        </w:tc>
      </w:tr>
      <w:tr>
        <w:trPr/>
        <w:tc>
          <w:tcPr>
            <w:tcW w:w="24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Three Months Ended March 31, 2025</w:t>
            </w:r>
          </w:p>
        </w:tc>
        <w:tc>
          <w:tcPr>
            <w:tcW w:w="4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73,053 </w:t>
            </w:r>
          </w:p>
        </w:tc>
        <w:tc>
          <w:tcPr>
            <w:tcW w:w="2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19,495 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(15,620)</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76,928 </w:t>
            </w:r>
          </w:p>
        </w:tc>
        <w:tc>
          <w:tcPr>
            <w:tcW w:w="2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Three Months Ended March 31, 2024</w:t>
            </w:r>
          </w:p>
        </w:tc>
        <w:tc>
          <w:tcPr>
            <w:tcW w:w="4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3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74,374 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(14,041)</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78,414 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4. Investments and fair value measurements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tables present the Company’s assets that are measured at fair value on a recurring basis within the fair value hierarchy (in thousands):</w:t>
      </w:r>
    </w:p>
    <w:p>
      <w:pPr>
        <w:pStyle w:val="TextBody"/>
        <w:bidi w:val="0"/>
        <w:spacing w:before="0" w:after="0"/>
        <w:jc w:val="left"/>
        <w:rPr/>
      </w:pPr>
      <w:r>
        <w:rPr/>
      </w:r>
    </w:p>
    <w:tbl>
      <w:tblPr>
        <w:tblW w:w="5918"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96"/>
        <w:gridCol w:w="736"/>
        <w:gridCol w:w="109"/>
        <w:gridCol w:w="109"/>
        <w:gridCol w:w="109"/>
        <w:gridCol w:w="109"/>
        <w:gridCol w:w="196"/>
        <w:gridCol w:w="736"/>
        <w:gridCol w:w="109"/>
        <w:gridCol w:w="109"/>
        <w:gridCol w:w="109"/>
        <w:gridCol w:w="109"/>
        <w:gridCol w:w="196"/>
        <w:gridCol w:w="406"/>
        <w:gridCol w:w="15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20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Cash equivalents</w:t>
            </w:r>
            <w:r>
              <w:rPr>
                <w:rFonts w:ascii="Arial;sans-serif" w:hAnsi="Arial;sans-serif"/>
                <w:b w:val="false"/>
                <w:color w:val="000000"/>
                <w:sz w:val="10"/>
              </w:rPr>
              <w:t>(1)</w:t>
            </w: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136,085 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Marketable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145,918 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167,398 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01"/>
        <w:gridCol w:w="1053"/>
        <w:gridCol w:w="1059"/>
        <w:gridCol w:w="196"/>
        <w:gridCol w:w="196"/>
        <w:gridCol w:w="196"/>
        <w:gridCol w:w="353"/>
        <w:gridCol w:w="1328"/>
        <w:gridCol w:w="196"/>
        <w:gridCol w:w="196"/>
        <w:gridCol w:w="196"/>
        <w:gridCol w:w="196"/>
        <w:gridCol w:w="353"/>
        <w:gridCol w:w="1328"/>
        <w:gridCol w:w="196"/>
        <w:gridCol w:w="196"/>
        <w:gridCol w:w="196"/>
        <w:gridCol w:w="196"/>
        <w:gridCol w:w="353"/>
        <w:gridCol w:w="732"/>
        <w:gridCol w:w="289"/>
      </w:tblGrid>
      <w:tr>
        <w:trPr/>
        <w:tc>
          <w:tcPr>
            <w:tcW w:w="120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3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As of December 31, 2024</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331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Assets</w:t>
            </w:r>
          </w:p>
        </w:tc>
        <w:tc>
          <w:tcPr>
            <w:tcW w:w="5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Cash equivalents</w:t>
            </w:r>
            <w:r>
              <w:rPr>
                <w:rFonts w:ascii="Arial;sans-serif" w:hAnsi="Arial;sans-serif"/>
                <w:b w:val="false"/>
                <w:color w:val="000000"/>
                <w:sz w:val="10"/>
              </w:rPr>
              <w:t>(1)</w:t>
            </w:r>
            <w:r>
              <w:rPr>
                <w:rFonts w:ascii="Arial;sans-serif" w:hAnsi="Arial;sans-serif"/>
                <w:b w:val="false"/>
                <w:color w:val="000000"/>
                <w:sz w:val="16"/>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5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2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136,771 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2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Time deposits</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government securities</w:t>
            </w:r>
          </w:p>
        </w:tc>
        <w:tc>
          <w:tcPr>
            <w:tcW w:w="5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1,686 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Marketable securities:</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securities</w:t>
            </w:r>
          </w:p>
        </w:tc>
        <w:tc>
          <w:tcPr>
            <w:tcW w:w="5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163,844 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assets</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146,580 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165,530 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 Included in cash and cash equivalents in the accompanying condensed consolidated balance sheets, in addition to $43.7 million and $42.3 million of cash as of March 31, 2025 and December 31, 2024, respectively.</w:t>
            </w:r>
          </w:p>
        </w:tc>
      </w:tr>
    </w:tbl>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money market funds and time deposits are classified within Level 1 of the fair value hierarchy because they are valued using quoted prices in active markets. The Company’s investments in U.S. government securities are classified within Level 2 of the fair value hierarchy because they have been valued using inputs other than quoted prices in active markets that are directly or indirectly observable. The Company’s strategic investments are classified within Level 3 of the fair value hierarchy because they have been valued using significant unobservable inputs for which the Company has been required to develop its own assumptions.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cost basis of the Company’s strategic investments is $15.0 million. The Company previously recorded impairment charges of $10.3 million during the second quarter of 2024, $1.8 million during the second quarter of 2023 and $2.9 million during the third quarter of 2022. There have been no observable price changes in orderly transactions for identical or similar investments of the same issuer during the periods presented. As such, the Company’s carrying amount of it’s strategic investment was zero as of March 31, 2025 and December 31,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200" w:after="283"/>
        <w:jc w:val="left"/>
        <w:rPr>
          <w:rFonts w:ascii="Arial;sans-serif" w:hAnsi="Arial;sans-serif"/>
          <w:b/>
          <w:color w:val="000000"/>
          <w:sz w:val="24"/>
          <w:shd w:fill="FFFFFF" w:val="clear"/>
        </w:rPr>
      </w:pPr>
      <w:r>
        <w:rPr>
          <w:rFonts w:ascii="Arial;sans-serif" w:hAnsi="Arial;sans-serif"/>
          <w:b/>
          <w:color w:val="000000"/>
          <w:sz w:val="24"/>
          <w:shd w:fill="FFFFFF" w:val="clear"/>
        </w:rPr>
        <w:t>5. Consolidated balance sheet components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Cash, cash equivalents, and marketable securities</w:t>
      </w:r>
      <w:r>
        <w:rPr>
          <w:color w:val="000000"/>
        </w:rPr>
        <w:t xml:space="preserve">— </w:t>
      </w:r>
      <w:r>
        <w:rPr>
          <w:rFonts w:ascii="Arial;sans-serif" w:hAnsi="Arial;sans-serif"/>
          <w:b w:val="false"/>
          <w:color w:val="000000"/>
          <w:sz w:val="20"/>
        </w:rPr>
        <w:t xml:space="preserve">The amortized cost, unrealized gains and losses, and estimated fair value of cash, cash equivalents, and marketable securities consisted of the following (in thousands): </w:t>
      </w:r>
    </w:p>
    <w:tbl>
      <w:tblPr>
        <w:tblW w:w="10205" w:type="dxa"/>
        <w:jc w:val="left"/>
        <w:tblInd w:w="0" w:type="dxa"/>
        <w:tblLayout w:type="fixed"/>
        <w:tblCellMar>
          <w:top w:w="28" w:type="dxa"/>
          <w:left w:w="28" w:type="dxa"/>
          <w:bottom w:w="28" w:type="dxa"/>
          <w:right w:w="28" w:type="dxa"/>
        </w:tblCellMar>
      </w:tblPr>
      <w:tblGrid>
        <w:gridCol w:w="1339"/>
        <w:gridCol w:w="1161"/>
        <w:gridCol w:w="1170"/>
        <w:gridCol w:w="109"/>
        <w:gridCol w:w="109"/>
        <w:gridCol w:w="109"/>
        <w:gridCol w:w="244"/>
        <w:gridCol w:w="920"/>
        <w:gridCol w:w="135"/>
        <w:gridCol w:w="109"/>
        <w:gridCol w:w="109"/>
        <w:gridCol w:w="109"/>
        <w:gridCol w:w="378"/>
        <w:gridCol w:w="785"/>
        <w:gridCol w:w="211"/>
        <w:gridCol w:w="109"/>
        <w:gridCol w:w="109"/>
        <w:gridCol w:w="109"/>
        <w:gridCol w:w="402"/>
        <w:gridCol w:w="835"/>
        <w:gridCol w:w="225"/>
        <w:gridCol w:w="109"/>
        <w:gridCol w:w="109"/>
        <w:gridCol w:w="109"/>
        <w:gridCol w:w="196"/>
        <w:gridCol w:w="736"/>
        <w:gridCol w:w="160"/>
      </w:tblGrid>
      <w:tr>
        <w:trPr/>
        <w:tc>
          <w:tcPr>
            <w:tcW w:w="133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3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136,085 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136,085 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cash and cash equivalents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189,617 </w:t>
            </w:r>
          </w:p>
        </w:tc>
        <w:tc>
          <w:tcPr>
            <w:tcW w:w="1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189,617 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167,328 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167,398 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cash, cash equivalents, and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356,945 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357,015 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33"/>
        <w:gridCol w:w="1168"/>
        <w:gridCol w:w="1177"/>
        <w:gridCol w:w="109"/>
        <w:gridCol w:w="109"/>
        <w:gridCol w:w="109"/>
        <w:gridCol w:w="244"/>
        <w:gridCol w:w="919"/>
        <w:gridCol w:w="135"/>
        <w:gridCol w:w="109"/>
        <w:gridCol w:w="109"/>
        <w:gridCol w:w="109"/>
        <w:gridCol w:w="377"/>
        <w:gridCol w:w="783"/>
        <w:gridCol w:w="211"/>
        <w:gridCol w:w="109"/>
        <w:gridCol w:w="109"/>
        <w:gridCol w:w="109"/>
        <w:gridCol w:w="401"/>
        <w:gridCol w:w="833"/>
        <w:gridCol w:w="224"/>
        <w:gridCol w:w="109"/>
        <w:gridCol w:w="109"/>
        <w:gridCol w:w="109"/>
        <w:gridCol w:w="196"/>
        <w:gridCol w:w="736"/>
        <w:gridCol w:w="160"/>
      </w:tblGrid>
      <w:tr>
        <w:trPr/>
        <w:tc>
          <w:tcPr>
            <w:tcW w:w="1333"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3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136,771 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136,771 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1,686 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1,686 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190,592 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190,592 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Marketable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163,747 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163,844 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cash, cash equivalents, and marketable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354,339 </w:t>
            </w:r>
          </w:p>
        </w:tc>
        <w:tc>
          <w:tcPr>
            <w:tcW w:w="1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354,436 </w:t>
            </w:r>
          </w:p>
        </w:tc>
        <w:tc>
          <w:tcPr>
            <w:tcW w:w="16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Cash equivalents and marketable securities in an unrealized loss position consisted of the following (in thousands):</w:t>
      </w:r>
    </w:p>
    <w:tbl>
      <w:tblPr>
        <w:tblW w:w="10205" w:type="dxa"/>
        <w:jc w:val="left"/>
        <w:tblInd w:w="0" w:type="dxa"/>
        <w:tblLayout w:type="fixed"/>
        <w:tblCellMar>
          <w:top w:w="28" w:type="dxa"/>
          <w:left w:w="28" w:type="dxa"/>
          <w:bottom w:w="28" w:type="dxa"/>
          <w:right w:w="28" w:type="dxa"/>
        </w:tblCellMar>
      </w:tblPr>
      <w:tblGrid>
        <w:gridCol w:w="1162"/>
        <w:gridCol w:w="1018"/>
        <w:gridCol w:w="1026"/>
        <w:gridCol w:w="196"/>
        <w:gridCol w:w="646"/>
        <w:gridCol w:w="109"/>
        <w:gridCol w:w="109"/>
        <w:gridCol w:w="109"/>
        <w:gridCol w:w="109"/>
        <w:gridCol w:w="701"/>
        <w:gridCol w:w="916"/>
        <w:gridCol w:w="392"/>
        <w:gridCol w:w="109"/>
        <w:gridCol w:w="109"/>
        <w:gridCol w:w="109"/>
        <w:gridCol w:w="200"/>
        <w:gridCol w:w="570"/>
        <w:gridCol w:w="111"/>
        <w:gridCol w:w="109"/>
        <w:gridCol w:w="109"/>
        <w:gridCol w:w="109"/>
        <w:gridCol w:w="560"/>
        <w:gridCol w:w="1164"/>
        <w:gridCol w:w="453"/>
      </w:tblGrid>
      <w:tr>
        <w:trPr/>
        <w:tc>
          <w:tcPr>
            <w:tcW w:w="116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Gross Unrealized Losses</w:t>
            </w:r>
            <w:r>
              <w:rPr>
                <w:rFonts w:ascii="Arial;sans-serif" w:hAnsi="Arial;sans-serif"/>
                <w:b/>
                <w:color w:val="000000"/>
                <w:sz w:val="10"/>
              </w:rPr>
              <w:t>(1)</w:t>
            </w:r>
          </w:p>
        </w:tc>
      </w:tr>
      <w:tr>
        <w:trPr/>
        <w:tc>
          <w:tcPr>
            <w:tcW w:w="32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Marketable securities:</w:t>
            </w:r>
          </w:p>
        </w:tc>
        <w:tc>
          <w:tcPr>
            <w:tcW w:w="9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U.S. government securities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securities in an unrealized loss position</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38,220 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39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4,898 </w:t>
            </w:r>
          </w:p>
        </w:tc>
        <w:tc>
          <w:tcPr>
            <w:tcW w:w="1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(1) Gross unrealized losses as of December 31, 2024, were less than one thousand dollars and rounded to zero. </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Realized gains and losses reclassified from accumulated other comprehensive loss to other income (expense), net were zero for the three months ended March 31, 2025 and 2024.</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 securities had been in a continuous unrealized loss position for twelve months or longer as of March 31, 2025 or December 31, 2024. The Company does not intend to sell available-for-sale marketable debt securities in unrealized loss positions, and it is more likely than not that the Company will hold these securities until maturity or recovery of the cost basis. As of March 31, 2025 and December 31, 2024, the Company did not have an allowance for credit losses related to its available-for-sale debt securities due to a zero loss expectation for the portfolio which consists solely of U.S. government securities.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of March 31, 2025, the entirety of the Company’s marketable securities portfolio had remaining contractual maturities of one year or 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Property and equipment, net</w:t>
      </w:r>
      <w:r>
        <w:rPr>
          <w:color w:val="000000"/>
        </w:rPr>
        <w:t xml:space="preserve">— </w:t>
      </w:r>
      <w:r>
        <w:rPr>
          <w:rFonts w:ascii="Arial;sans-serif" w:hAnsi="Arial;sans-serif"/>
          <w:b w:val="false"/>
          <w:color w:val="000000"/>
          <w:sz w:val="20"/>
        </w:rPr>
        <w:t>Property and equipment, net consisted of the following (in thousands):</w:t>
      </w:r>
    </w:p>
    <w:tbl>
      <w:tblPr>
        <w:tblW w:w="6493" w:type="dxa"/>
        <w:jc w:val="left"/>
        <w:tblInd w:w="0" w:type="dxa"/>
        <w:tblLayout w:type="fixed"/>
        <w:tblCellMar>
          <w:top w:w="28" w:type="dxa"/>
          <w:left w:w="28" w:type="dxa"/>
          <w:bottom w:w="28" w:type="dxa"/>
          <w:right w:w="28" w:type="dxa"/>
        </w:tblCellMar>
      </w:tblPr>
      <w:tblGrid>
        <w:gridCol w:w="1315"/>
        <w:gridCol w:w="1155"/>
        <w:gridCol w:w="1159"/>
        <w:gridCol w:w="109"/>
        <w:gridCol w:w="109"/>
        <w:gridCol w:w="109"/>
        <w:gridCol w:w="196"/>
        <w:gridCol w:w="646"/>
        <w:gridCol w:w="109"/>
        <w:gridCol w:w="109"/>
        <w:gridCol w:w="109"/>
        <w:gridCol w:w="109"/>
        <w:gridCol w:w="248"/>
        <w:gridCol w:w="817"/>
        <w:gridCol w:w="194"/>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December 31, </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629"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Leasehold improvements</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22,252 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17"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19,064 </w:t>
            </w:r>
          </w:p>
        </w:tc>
        <w:tc>
          <w:tcPr>
            <w:tcW w:w="194"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Computers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8,317 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Furniture and fixtures</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5,417 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4,737 </w:t>
            </w:r>
          </w:p>
        </w:tc>
        <w:tc>
          <w:tcPr>
            <w:tcW w:w="19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Construction in progress</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1,757 </w:t>
            </w:r>
          </w:p>
        </w:tc>
        <w:tc>
          <w:tcPr>
            <w:tcW w:w="19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34,258 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Less accumulated depreciation and amortization</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(30,222)</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(29,724)</w:t>
            </w:r>
          </w:p>
        </w:tc>
        <w:tc>
          <w:tcPr>
            <w:tcW w:w="19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4,534 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Depreciation expense was $0.7 million for both the three months ended March 31, 2025 and 2024.</w:t>
      </w:r>
    </w:p>
    <w:p>
      <w:pPr>
        <w:pStyle w:val="TextBody"/>
        <w:bidi w:val="0"/>
        <w:spacing w:lineRule="auto" w:line="288" w:before="200" w:after="283"/>
        <w:jc w:val="left"/>
        <w:rPr/>
      </w:pPr>
      <w:r>
        <w:rPr>
          <w:rFonts w:ascii="Arial;sans-serif" w:hAnsi="Arial;sans-serif"/>
          <w:b/>
          <w:i/>
          <w:color w:val="000000"/>
          <w:sz w:val="20"/>
          <w:shd w:fill="FFFFFF" w:val="clear"/>
        </w:rPr>
        <w:t>Capitalized software, net</w:t>
      </w:r>
      <w:r>
        <w:rPr>
          <w:color w:val="000000"/>
          <w:shd w:fill="FFFFFF" w:val="clear"/>
        </w:rPr>
        <w:t xml:space="preserve">— </w:t>
      </w:r>
      <w:r>
        <w:rPr>
          <w:rFonts w:ascii="Arial;sans-serif" w:hAnsi="Arial;sans-serif"/>
          <w:b w:val="false"/>
          <w:color w:val="000000"/>
          <w:sz w:val="20"/>
          <w:shd w:fill="FFFFFF" w:val="clear"/>
        </w:rPr>
        <w:t>Capitalized software, net consisted of the following (in thousands):</w:t>
      </w:r>
    </w:p>
    <w:tbl>
      <w:tblPr>
        <w:tblW w:w="5294" w:type="dxa"/>
        <w:jc w:val="left"/>
        <w:tblInd w:w="0" w:type="dxa"/>
        <w:tblLayout w:type="fixed"/>
        <w:tblCellMar>
          <w:top w:w="28" w:type="dxa"/>
          <w:left w:w="28" w:type="dxa"/>
          <w:bottom w:w="28" w:type="dxa"/>
          <w:right w:w="28" w:type="dxa"/>
        </w:tblCellMar>
      </w:tblPr>
      <w:tblGrid>
        <w:gridCol w:w="863"/>
        <w:gridCol w:w="759"/>
        <w:gridCol w:w="762"/>
        <w:gridCol w:w="109"/>
        <w:gridCol w:w="109"/>
        <w:gridCol w:w="109"/>
        <w:gridCol w:w="196"/>
        <w:gridCol w:w="736"/>
        <w:gridCol w:w="109"/>
        <w:gridCol w:w="109"/>
        <w:gridCol w:w="109"/>
        <w:gridCol w:w="109"/>
        <w:gridCol w:w="219"/>
        <w:gridCol w:w="824"/>
        <w:gridCol w:w="172"/>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384" w:type="dxa"/>
            <w:gridSpan w:val="3"/>
            <w:tcBorders/>
            <w:shd w:fill="DDDDDD"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Internal use software</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109,445 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4"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105,162 </w:t>
            </w:r>
          </w:p>
        </w:tc>
        <w:tc>
          <w:tcPr>
            <w:tcW w:w="172"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Content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DDDDDD"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capitalized software</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109,631 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105,162 </w:t>
            </w:r>
          </w:p>
        </w:tc>
        <w:tc>
          <w:tcPr>
            <w:tcW w:w="172"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(73,614)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Capitalized software, net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30,760 </w:t>
            </w:r>
          </w:p>
        </w:tc>
        <w:tc>
          <w:tcPr>
            <w:tcW w:w="109"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4"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31,548 </w:t>
            </w:r>
          </w:p>
        </w:tc>
        <w:tc>
          <w:tcPr>
            <w:tcW w:w="172"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Arial;sans-serif" w:hAnsi="Arial;sans-serif"/>
          <w:b w:val="false"/>
          <w:color w:val="000000"/>
          <w:sz w:val="20"/>
          <w:shd w:fill="FFFFFF" w:val="clear"/>
        </w:rPr>
        <w:t>Amortization expense of capitalized</w:t>
      </w:r>
      <w:r>
        <w:rPr>
          <w:color w:val="000000"/>
        </w:rPr>
        <w:t xml:space="preserve"> </w:t>
      </w:r>
      <w:r>
        <w:rPr>
          <w:rFonts w:ascii="Arial;sans-serif" w:hAnsi="Arial;sans-serif"/>
          <w:b w:val="false"/>
          <w:color w:val="000000"/>
          <w:sz w:val="20"/>
        </w:rPr>
        <w:t xml:space="preserve">software was $5.3 million and </w:t>
      </w:r>
      <w:r>
        <w:rPr>
          <w:rFonts w:ascii="Arial;sans-serif" w:hAnsi="Arial;sans-serif"/>
          <w:b w:val="false"/>
          <w:color w:val="000000"/>
          <w:sz w:val="20"/>
          <w:shd w:fill="FFFFFF" w:val="clear"/>
        </w:rPr>
        <w:t>$4.8 million</w:t>
      </w:r>
      <w:r>
        <w:rPr>
          <w:color w:val="000000"/>
        </w:rPr>
        <w:t xml:space="preserve"> </w:t>
      </w:r>
      <w:r>
        <w:rPr>
          <w:rFonts w:ascii="Arial;sans-serif" w:hAnsi="Arial;sans-serif"/>
          <w:b w:val="false"/>
          <w:color w:val="000000"/>
          <w:sz w:val="20"/>
        </w:rPr>
        <w:t>f</w:t>
      </w:r>
      <w:r>
        <w:rPr>
          <w:rFonts w:ascii="Arial;sans-serif" w:hAnsi="Arial;sans-serif"/>
          <w:b w:val="false"/>
          <w:color w:val="000000"/>
          <w:sz w:val="20"/>
          <w:shd w:fill="FFFFFF" w:val="clear"/>
        </w:rPr>
        <w:t xml:space="preserve">or the </w:t>
      </w:r>
      <w:r>
        <w:rPr>
          <w:rFonts w:ascii="Arial;sans-serif" w:hAnsi="Arial;sans-serif"/>
          <w:b w:val="false"/>
          <w:color w:val="000000"/>
          <w:sz w:val="20"/>
        </w:rPr>
        <w:t>three months ended March 31, 2025 and 2024,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March 31, 2025, expected amortization expense for capitalized software over the remaining asset lives was as follows (in thousands):</w:t>
      </w:r>
    </w:p>
    <w:p>
      <w:pPr>
        <w:pStyle w:val="TextBody"/>
        <w:bidi w:val="0"/>
        <w:spacing w:before="0" w:after="0"/>
        <w:jc w:val="left"/>
        <w:rPr/>
      </w:pPr>
      <w:r>
        <w:rPr/>
      </w:r>
    </w:p>
    <w:tbl>
      <w:tblPr>
        <w:tblW w:w="3125" w:type="dxa"/>
        <w:jc w:val="left"/>
        <w:tblInd w:w="0" w:type="dxa"/>
        <w:tblLayout w:type="fixed"/>
        <w:tblCellMar>
          <w:top w:w="28" w:type="dxa"/>
          <w:left w:w="28" w:type="dxa"/>
          <w:bottom w:w="28" w:type="dxa"/>
          <w:right w:w="28" w:type="dxa"/>
        </w:tblCellMar>
      </w:tblPr>
      <w:tblGrid>
        <w:gridCol w:w="768"/>
        <w:gridCol w:w="675"/>
        <w:gridCol w:w="686"/>
        <w:gridCol w:w="196"/>
        <w:gridCol w:w="646"/>
        <w:gridCol w:w="154"/>
      </w:tblGrid>
      <w:tr>
        <w:trPr/>
        <w:tc>
          <w:tcPr>
            <w:tcW w:w="76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196" w:type="dxa"/>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13,645 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4,906 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2028</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expected amortization</w:t>
            </w:r>
          </w:p>
        </w:tc>
        <w:tc>
          <w:tcPr>
            <w:tcW w:w="19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30,760 </w:t>
            </w:r>
          </w:p>
        </w:tc>
        <w:tc>
          <w:tcPr>
            <w:tcW w:w="154"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0" w:before="0" w:after="0"/>
        <w:jc w:val="left"/>
        <w:rPr/>
      </w:pPr>
      <w:r>
        <w:rPr>
          <w:rFonts w:ascii="Arial;sans-serif" w:hAnsi="Arial;sans-serif"/>
          <w:b/>
          <w:i/>
          <w:color w:val="000000"/>
          <w:sz w:val="20"/>
        </w:rPr>
        <w:t xml:space="preserve">Intangible assets, net and goodwill— </w:t>
      </w:r>
      <w:r>
        <w:rPr>
          <w:rFonts w:ascii="Arial;sans-serif" w:hAnsi="Arial;sans-serif"/>
          <w:b w:val="false"/>
          <w:color w:val="000000"/>
          <w:sz w:val="20"/>
        </w:rPr>
        <w:t>As of March 31, 2025, intangible assets, net acquired as part of the CorpU business combination were as follows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94"/>
        <w:gridCol w:w="523"/>
        <w:gridCol w:w="525"/>
        <w:gridCol w:w="109"/>
        <w:gridCol w:w="109"/>
        <w:gridCol w:w="109"/>
        <w:gridCol w:w="570"/>
        <w:gridCol w:w="570"/>
        <w:gridCol w:w="571"/>
        <w:gridCol w:w="109"/>
        <w:gridCol w:w="109"/>
        <w:gridCol w:w="109"/>
        <w:gridCol w:w="376"/>
        <w:gridCol w:w="1243"/>
        <w:gridCol w:w="209"/>
        <w:gridCol w:w="109"/>
        <w:gridCol w:w="109"/>
        <w:gridCol w:w="109"/>
        <w:gridCol w:w="407"/>
        <w:gridCol w:w="1378"/>
        <w:gridCol w:w="228"/>
        <w:gridCol w:w="109"/>
        <w:gridCol w:w="109"/>
        <w:gridCol w:w="109"/>
        <w:gridCol w:w="365"/>
        <w:gridCol w:w="1041"/>
        <w:gridCol w:w="297"/>
      </w:tblGrid>
      <w:tr>
        <w:trPr/>
        <w:tc>
          <w:tcPr>
            <w:tcW w:w="59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Useful Lives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Intangible Assets,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Intangible Assets, Net</w:t>
            </w:r>
          </w:p>
        </w:tc>
      </w:tr>
      <w:tr>
        <w:trPr/>
        <w:tc>
          <w:tcPr>
            <w:tcW w:w="16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4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5,500 </w:t>
            </w:r>
          </w:p>
        </w:tc>
        <w:tc>
          <w:tcPr>
            <w:tcW w:w="2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7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(3,302)</w:t>
            </w:r>
          </w:p>
        </w:tc>
        <w:tc>
          <w:tcPr>
            <w:tcW w:w="2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2,198 </w:t>
            </w:r>
          </w:p>
        </w:tc>
        <w:tc>
          <w:tcPr>
            <w:tcW w:w="2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Vendor relationships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(4,500)</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4,200 </w:t>
            </w:r>
          </w:p>
        </w:tc>
        <w:tc>
          <w:tcPr>
            <w:tcW w:w="2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(4,200)</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4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15,100 </w:t>
            </w:r>
          </w:p>
        </w:tc>
        <w:tc>
          <w:tcPr>
            <w:tcW w:w="2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7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(12,902)</w:t>
            </w:r>
          </w:p>
        </w:tc>
        <w:tc>
          <w:tcPr>
            <w:tcW w:w="2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2,198 </w:t>
            </w:r>
          </w:p>
        </w:tc>
        <w:tc>
          <w:tcPr>
            <w:tcW w:w="2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December 31, 2024, intangible assets, net acquired as part of the CorpU business combination were as follows (in thousands):</w:t>
      </w:r>
    </w:p>
    <w:tbl>
      <w:tblPr>
        <w:tblW w:w="10205" w:type="dxa"/>
        <w:jc w:val="left"/>
        <w:tblInd w:w="0" w:type="dxa"/>
        <w:tblLayout w:type="fixed"/>
        <w:tblCellMar>
          <w:top w:w="28" w:type="dxa"/>
          <w:left w:w="28" w:type="dxa"/>
          <w:bottom w:w="28" w:type="dxa"/>
          <w:right w:w="28" w:type="dxa"/>
        </w:tblCellMar>
      </w:tblPr>
      <w:tblGrid>
        <w:gridCol w:w="594"/>
        <w:gridCol w:w="523"/>
        <w:gridCol w:w="525"/>
        <w:gridCol w:w="109"/>
        <w:gridCol w:w="109"/>
        <w:gridCol w:w="109"/>
        <w:gridCol w:w="570"/>
        <w:gridCol w:w="570"/>
        <w:gridCol w:w="571"/>
        <w:gridCol w:w="109"/>
        <w:gridCol w:w="109"/>
        <w:gridCol w:w="109"/>
        <w:gridCol w:w="376"/>
        <w:gridCol w:w="1243"/>
        <w:gridCol w:w="209"/>
        <w:gridCol w:w="109"/>
        <w:gridCol w:w="109"/>
        <w:gridCol w:w="109"/>
        <w:gridCol w:w="407"/>
        <w:gridCol w:w="1378"/>
        <w:gridCol w:w="228"/>
        <w:gridCol w:w="109"/>
        <w:gridCol w:w="109"/>
        <w:gridCol w:w="109"/>
        <w:gridCol w:w="365"/>
        <w:gridCol w:w="1041"/>
        <w:gridCol w:w="297"/>
      </w:tblGrid>
      <w:tr>
        <w:trPr/>
        <w:tc>
          <w:tcPr>
            <w:tcW w:w="59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Useful Lives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Intangible Assets,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Intangible Assets, Net</w:t>
            </w:r>
          </w:p>
        </w:tc>
      </w:tr>
      <w:tr>
        <w:trPr/>
        <w:tc>
          <w:tcPr>
            <w:tcW w:w="16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4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5,500 </w:t>
            </w:r>
          </w:p>
        </w:tc>
        <w:tc>
          <w:tcPr>
            <w:tcW w:w="2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7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(3,072)</w:t>
            </w:r>
          </w:p>
        </w:tc>
        <w:tc>
          <w:tcPr>
            <w:tcW w:w="2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2,428 </w:t>
            </w:r>
          </w:p>
        </w:tc>
        <w:tc>
          <w:tcPr>
            <w:tcW w:w="2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Vendor relationships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(4,500)</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4,200 </w:t>
            </w:r>
          </w:p>
        </w:tc>
        <w:tc>
          <w:tcPr>
            <w:tcW w:w="2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(4,200)</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4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15,100 </w:t>
            </w:r>
          </w:p>
        </w:tc>
        <w:tc>
          <w:tcPr>
            <w:tcW w:w="2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7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(12,672)</w:t>
            </w:r>
          </w:p>
        </w:tc>
        <w:tc>
          <w:tcPr>
            <w:tcW w:w="2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2,428 </w:t>
            </w:r>
          </w:p>
        </w:tc>
        <w:tc>
          <w:tcPr>
            <w:tcW w:w="2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Amortization expense of intangible assets was $0.2 million and $1.0 million for the three months ended March 31, 2025 and 2024, respectively.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expected future amortization expense for intangible assets as of March 31, 2025 was as follows (in thousands):</w:t>
      </w:r>
    </w:p>
    <w:p>
      <w:pPr>
        <w:pStyle w:val="TextBody"/>
        <w:bidi w:val="0"/>
        <w:spacing w:before="0" w:after="0"/>
        <w:jc w:val="left"/>
        <w:rPr/>
      </w:pPr>
      <w:r>
        <w:rPr/>
      </w:r>
    </w:p>
    <w:tbl>
      <w:tblPr>
        <w:tblW w:w="3035" w:type="dxa"/>
        <w:jc w:val="left"/>
        <w:tblInd w:w="0" w:type="dxa"/>
        <w:tblLayout w:type="fixed"/>
        <w:tblCellMar>
          <w:top w:w="28" w:type="dxa"/>
          <w:left w:w="28" w:type="dxa"/>
          <w:bottom w:w="28" w:type="dxa"/>
          <w:right w:w="28" w:type="dxa"/>
        </w:tblCellMar>
      </w:tblPr>
      <w:tblGrid>
        <w:gridCol w:w="768"/>
        <w:gridCol w:w="675"/>
        <w:gridCol w:w="686"/>
        <w:gridCol w:w="196"/>
        <w:gridCol w:w="556"/>
        <w:gridCol w:w="154"/>
      </w:tblGrid>
      <w:tr>
        <w:trPr/>
        <w:tc>
          <w:tcPr>
            <w:tcW w:w="76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expected amortization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Goodwill in the amount of $12.6 million was established as part of the CorpU acquisition on August 24, 2021, and allocated to the Enterprise segment. This amount represents the excess of the purchase price over the fair value of net assets acquired. There have been no adjustments to the carrying amount of goodwill as of March 31, 2025.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tests for impairment at least annually, or whenever events or changes in circumstances occur that could impact the recoverability of these assets. No such triggering events were noted for the three months ended March 31, 2025 and 2024, respectively.</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Accrued expenses and other current liabilities</w:t>
      </w:r>
      <w:r>
        <w:rPr>
          <w:color w:val="000000"/>
        </w:rPr>
        <w:t xml:space="preserve">— </w:t>
      </w:r>
      <w:r>
        <w:rPr>
          <w:rFonts w:ascii="Arial;sans-serif" w:hAnsi="Arial;sans-serif"/>
          <w:b w:val="false"/>
          <w:color w:val="000000"/>
          <w:sz w:val="20"/>
        </w:rPr>
        <w:t>Accrued expenses and other current liabilities consisted of the following (in thousands):</w:t>
      </w:r>
    </w:p>
    <w:p>
      <w:pPr>
        <w:pStyle w:val="TextBody"/>
        <w:bidi w:val="0"/>
        <w:spacing w:before="0" w:after="0"/>
        <w:jc w:val="left"/>
        <w:rPr/>
      </w:pPr>
      <w:r>
        <w:rPr/>
      </w:r>
    </w:p>
    <w:tbl>
      <w:tblPr>
        <w:tblW w:w="5927" w:type="dxa"/>
        <w:jc w:val="left"/>
        <w:tblInd w:w="0" w:type="dxa"/>
        <w:tblLayout w:type="fixed"/>
        <w:tblCellMar>
          <w:top w:w="28" w:type="dxa"/>
          <w:left w:w="28" w:type="dxa"/>
          <w:bottom w:w="28" w:type="dxa"/>
          <w:right w:w="28" w:type="dxa"/>
        </w:tblCellMar>
      </w:tblPr>
      <w:tblGrid>
        <w:gridCol w:w="1242"/>
        <w:gridCol w:w="1094"/>
        <w:gridCol w:w="1098"/>
        <w:gridCol w:w="196"/>
        <w:gridCol w:w="646"/>
        <w:gridCol w:w="109"/>
        <w:gridCol w:w="109"/>
        <w:gridCol w:w="109"/>
        <w:gridCol w:w="109"/>
        <w:gridCol w:w="239"/>
        <w:gridCol w:w="788"/>
        <w:gridCol w:w="188"/>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4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14,956 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14,518 </w:t>
            </w:r>
          </w:p>
        </w:tc>
        <w:tc>
          <w:tcPr>
            <w:tcW w:w="18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Indirect tax reserves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Indirect tax payables</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8,952 </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30,171 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31,156 </w:t>
            </w:r>
          </w:p>
        </w:tc>
        <w:tc>
          <w:tcPr>
            <w:tcW w:w="18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6. Leases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applies the guidance under Topic 842 for leases of real estate facilities under non-cancelable operating leases with various expiration dates through fiscal year 2029.</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result of new leasing activity during fiscal year 2024, the Company is entitled to receive $2.1 million in tenant incentives for leasehold improvements constructed by the Company. The total amount of tenant incentives was still outstanding as of March 31, 2025, and is expected to be received in 2025.</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recognized the following amounts related to its operating leases in its condensed consolidated statements of operations and cash flows (in thousands):</w:t>
      </w:r>
    </w:p>
    <w:tbl>
      <w:tblPr>
        <w:tblW w:w="8456" w:type="dxa"/>
        <w:jc w:val="left"/>
        <w:tblInd w:w="0" w:type="dxa"/>
        <w:tblLayout w:type="fixed"/>
        <w:tblCellMar>
          <w:top w:w="28" w:type="dxa"/>
          <w:left w:w="28" w:type="dxa"/>
          <w:bottom w:w="28" w:type="dxa"/>
          <w:right w:w="28" w:type="dxa"/>
        </w:tblCellMar>
      </w:tblPr>
      <w:tblGrid>
        <w:gridCol w:w="2119"/>
        <w:gridCol w:w="1869"/>
        <w:gridCol w:w="1876"/>
        <w:gridCol w:w="242"/>
        <w:gridCol w:w="689"/>
        <w:gridCol w:w="135"/>
        <w:gridCol w:w="135"/>
        <w:gridCol w:w="135"/>
        <w:gridCol w:w="135"/>
        <w:gridCol w:w="242"/>
        <w:gridCol w:w="689"/>
        <w:gridCol w:w="190"/>
      </w:tblGrid>
      <w:tr>
        <w:trPr/>
        <w:tc>
          <w:tcPr>
            <w:tcW w:w="2119"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58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costs</w:t>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1,098 </w:t>
            </w:r>
          </w:p>
        </w:tc>
        <w:tc>
          <w:tcPr>
            <w:tcW w:w="1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1,550 </w:t>
            </w:r>
          </w:p>
        </w:tc>
        <w:tc>
          <w:tcPr>
            <w:tcW w:w="19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lease costs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Short-term lease costs</w:t>
            </w:r>
          </w:p>
        </w:tc>
        <w:tc>
          <w:tcPr>
            <w:tcW w:w="2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paid for amounts included in the measurement of operating lease liabilities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Future minimum lease payments (net of expected tenant incentives) under noncancellable operating leases with initial lease terms in excess of one year as of March 31, 2025, were as follows (in thousands):</w:t>
      </w:r>
    </w:p>
    <w:p>
      <w:pPr>
        <w:pStyle w:val="TextBody"/>
        <w:bidi w:val="0"/>
        <w:spacing w:before="0" w:after="0"/>
        <w:jc w:val="left"/>
        <w:rPr/>
      </w:pPr>
      <w:r>
        <w:rPr/>
      </w:r>
    </w:p>
    <w:tbl>
      <w:tblPr>
        <w:tblW w:w="3995" w:type="dxa"/>
        <w:jc w:val="left"/>
        <w:tblInd w:w="0" w:type="dxa"/>
        <w:tblLayout w:type="fixed"/>
        <w:tblCellMar>
          <w:top w:w="28" w:type="dxa"/>
          <w:left w:w="28" w:type="dxa"/>
          <w:bottom w:w="28" w:type="dxa"/>
          <w:right w:w="28" w:type="dxa"/>
        </w:tblCellMar>
      </w:tblPr>
      <w:tblGrid>
        <w:gridCol w:w="1116"/>
        <w:gridCol w:w="981"/>
        <w:gridCol w:w="992"/>
        <w:gridCol w:w="196"/>
        <w:gridCol w:w="556"/>
        <w:gridCol w:w="154"/>
      </w:tblGrid>
      <w:tr>
        <w:trPr/>
        <w:tc>
          <w:tcPr>
            <w:tcW w:w="111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lease payments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Present value of operating lease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4"/>
          <w:shd w:fill="FFFFFF" w:val="clear"/>
        </w:rPr>
      </w:pPr>
      <w:r>
        <w:rPr>
          <w:rFonts w:ascii="Arial;sans-serif" w:hAnsi="Arial;sans-serif"/>
          <w:b/>
          <w:color w:val="000000"/>
          <w:sz w:val="24"/>
          <w:shd w:fill="FFFFFF" w:val="clear"/>
        </w:rPr>
        <w:t>7. Commitments and contingencies</w:t>
      </w:r>
    </w:p>
    <w:p>
      <w:pPr>
        <w:pStyle w:val="TextBody"/>
        <w:bidi w:val="0"/>
        <w:spacing w:lineRule="auto" w:line="288" w:before="120" w:after="283"/>
        <w:jc w:val="left"/>
        <w:rPr/>
      </w:pPr>
      <w:r>
        <w:rPr>
          <w:rFonts w:ascii="Arial;sans-serif" w:hAnsi="Arial;sans-serif"/>
          <w:b/>
          <w:i/>
          <w:color w:val="000000"/>
          <w:sz w:val="20"/>
          <w:shd w:fill="FFFFFF" w:val="clear"/>
        </w:rPr>
        <w:t>Noncancellable purchase commitments</w:t>
      </w:r>
      <w:r>
        <w:rPr>
          <w:color w:val="000000"/>
          <w:shd w:fill="FFFFFF" w:val="clear"/>
        </w:rPr>
        <w:t xml:space="preserve">— </w:t>
      </w:r>
      <w:r>
        <w:rPr>
          <w:rFonts w:ascii="Arial;sans-serif" w:hAnsi="Arial;sans-serif"/>
          <w:b w:val="false"/>
          <w:color w:val="000000"/>
          <w:sz w:val="20"/>
          <w:shd w:fill="FFFFFF" w:val="clear"/>
        </w:rPr>
        <w:t xml:space="preserve">The Company has noncancellable contractual commitments with its cloud infrastructure provider, paid advertising and sponsorship vendors, and software subscriptions to support operations in the ordinary course of business. As of March 31, 2025, the Company had </w:t>
      </w:r>
      <w:r>
        <w:rPr>
          <w:rFonts w:ascii="Arial;sans-serif" w:hAnsi="Arial;sans-serif"/>
          <w:b w:val="false"/>
          <w:color w:val="000000"/>
          <w:sz w:val="20"/>
        </w:rPr>
        <w:t>$20.8 million</w:t>
      </w:r>
      <w:r>
        <w:rPr>
          <w:color w:val="000000"/>
        </w:rPr>
        <w:t xml:space="preserve"> </w:t>
      </w:r>
      <w:r>
        <w:rPr>
          <w:rFonts w:ascii="Arial;sans-serif" w:hAnsi="Arial;sans-serif"/>
          <w:b w:val="false"/>
          <w:color w:val="000000"/>
          <w:sz w:val="20"/>
          <w:shd w:fill="FFFFFF" w:val="clear"/>
        </w:rPr>
        <w:t>of future minimum payments under noncancellable purchase commitments with remaining terms in excess of one year, which are expected to be paid through 2027.</w:t>
      </w:r>
    </w:p>
    <w:p>
      <w:pPr>
        <w:pStyle w:val="TextBody"/>
        <w:bidi w:val="0"/>
        <w:spacing w:lineRule="auto" w:line="288" w:before="120" w:after="283"/>
        <w:jc w:val="left"/>
        <w:rPr/>
      </w:pPr>
      <w:r>
        <w:rPr>
          <w:rFonts w:ascii="Arial;sans-serif" w:hAnsi="Arial;sans-serif"/>
          <w:b/>
          <w:i/>
          <w:color w:val="000000"/>
          <w:sz w:val="20"/>
          <w:shd w:fill="FFFFFF" w:val="clear"/>
        </w:rPr>
        <w:t>Indemnification</w:t>
      </w:r>
      <w:r>
        <w:rPr>
          <w:color w:val="000000"/>
          <w:shd w:fill="FFFFFF" w:val="clear"/>
        </w:rPr>
        <w:t xml:space="preserve">— </w:t>
      </w:r>
      <w:r>
        <w:rPr>
          <w:rFonts w:ascii="Arial;sans-serif" w:hAnsi="Arial;sans-serif"/>
          <w:b w:val="false"/>
          <w:color w:val="000000"/>
          <w:sz w:val="20"/>
          <w:shd w:fill="FFFFFF" w:val="clear"/>
        </w:rPr>
        <w:t>The Company enters into indemnification provisions under agreements with other parties in the ordinary course of business, including certain business partners, investors, contractors, and the Company’s officers, directors, and certain employees. The Company has agreed to indemnify and defend the indemnified party’s claims and related losses suffered or incurred by the indemnified party resulting from actual or threatened third-party claims because of the Company’s activities or, in some cases, non-compliance with certain representations and warranties made by the Company. In general, the Company does not record any liability for these indemnities in the accompanying condensed consolidated balance sheets as the amounts cannot be reasonably estimated and are not considered probable. The Company does, however, accrue for losses for any known contingent liability, including those that may arise from indemnification provisions, when future payment is probable. To date, losses recorded in the Company’s condensed consolidated statements of operations in connection with the indemnification provisions have not been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jc w:val="left"/>
        <w:rPr/>
      </w:pPr>
      <w:r>
        <w:rPr>
          <w:rFonts w:ascii="Arial;sans-serif" w:hAnsi="Arial;sans-serif"/>
          <w:b/>
          <w:i/>
          <w:color w:val="000000"/>
          <w:sz w:val="20"/>
          <w:shd w:fill="FFFFFF" w:val="clear"/>
        </w:rPr>
        <w:t>Litigation</w:t>
      </w:r>
      <w:r>
        <w:rPr>
          <w:color w:val="000000"/>
          <w:shd w:fill="FFFFFF" w:val="clear"/>
        </w:rPr>
        <w:t xml:space="preserve">— </w:t>
      </w:r>
      <w:r>
        <w:rPr>
          <w:rFonts w:ascii="Arial;sans-serif" w:hAnsi="Arial;sans-serif"/>
          <w:b w:val="false"/>
          <w:color w:val="000000"/>
          <w:sz w:val="20"/>
          <w:shd w:fill="FFFFFF" w:val="clear"/>
        </w:rPr>
        <w:t xml:space="preserve">From time to time, in the ordinary course of business, the Company is subject to legal proceedings, claims, investigations, and other proceedings, including claims of alleged infringement of third-party patents and other intellectual property rights, and commercial, employment, and other matters. In accordance with generally accepted accounting principles, the Company makes a provision for a liability when it is both probable that a liability has been incurred and the amount of the loss can be reasonably estimated. These provisions are reviewed at least annually and adjusted to reflect the impacts of negotiations, settlements, rulings, advice of legal counsel, and other information and events pertaining to a particular case. The outcome of such litigation is not expected to have a material effect on the financial position, results of operation and cash flows of the Company. The Company has recorded an immaterial amount related to all outstanding litigation matters in the accrued expenses and other current liabilities caption of the accompanying condensed consolidated balance sheets as of March 31, 2025, and </w:t>
      </w:r>
      <w:r>
        <w:rPr>
          <w:rFonts w:ascii="Arial;sans-serif" w:hAnsi="Arial;sans-serif"/>
          <w:b w:val="false"/>
          <w:color w:val="000000"/>
          <w:sz w:val="20"/>
        </w:rPr>
        <w:t>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8. Income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provision for income taxes for interim periods is determined using an estimate of the Company’s annual effective tax rate, adjusted for discrete items, if any, that are taken into consideration in the relevant period. Each quarter, the Company updates the estimate of the annual effective tax rate, and if the estimated tax rate changes, the Company records a cumulative adjustment to the provision.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had an effective tax rate of (112.35)% and (5.93)% for the three months ended March 31, 2025 and 2024, respectively. The effective tax rate for the quarter differed from the federal statutory rate of 21% primarily due to the impact of a valuation allowance on certain deferred tax assets and the mix of earnings among taxing jurisdictions.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Organization for Economic Cooperation and Development ("OECD") introduced a framework under Pillar 2 including a 15% global minimum tax rate. Some jurisdictions in which the Company does business have started to enact laws implementing a minimum tax under Pillar Two. The Company is monitoring these developments and currently does not believe the rules have a material impact on its effective tax rate.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March 31, 2025 and December 31, 2024, the Company has provided a valuation allowance against U.S. federal and state deferred tax assets. Management continues to evaluate the realizability of deferred tax assets and the related valuation allowance. If management's assessment of the deferred tax assets or the corresponding valuation allowance were to change, the Company would record the related adjustment to income during the period in which management makes the determination.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recognizes interest and penalties associated with uncertain tax positions as part of the income tax provision. To date, the Company has not recognized any interest and penalties in its condensed consolidated statements of operations, nor has it accrued for or made payments for interest and penalties.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is subject to taxation in the U.S. and various foreign jurisdictions. Due to NOL carryforwards and tax credit carryforwards, the statutes of limitations remain open for tax years from inception of the Company through 2024. There are currently no income tax audits underway by U.S. federal or state tax authorities. The Company’s subsidiary, Udemy India LLP, has received tax assessments from the India Income Tax Department. These assessments have challenged the transfer pricing methodology used by Udemy India LLP for the fiscal years ended March 31, 2022 and 2021. The Company believes the proposed adjustments are without merit and will vigorously defend its position; however, it could take a number of years to reach resolution of this matter.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4"/>
        </w:rPr>
      </w:pPr>
      <w:r>
        <w:rPr>
          <w:rFonts w:ascii="Arial;sans-serif" w:hAnsi="Arial;sans-serif"/>
          <w:b/>
          <w:color w:val="000000"/>
          <w:sz w:val="24"/>
        </w:rPr>
        <w:t>9. Related party transactions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Naspers Ltd. (“Naspers”), through an investment entity controlled by Prosus N.V. (“Prosus”), beneficially owns more than 5% of the Company’s outstanding capital stock. During the year ended December 31, 2024, a current member of the Company’s Board of Directors was employed by Prosus as an operating partner and by OLX Group B.V., a Prosus operating subsidiary, as chief executive officer; these affiliations ceased as of December 31, 2024. Naspers and certain entities directly and indirectly controlled by Naspers are customers of the Company’s Enterprise subscription offering.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Insight Partners (“Insight”), where a member of the Company’s Board of Directors is a Managing Director, has certain affiliates who are customers of the Company’s Enterprise subscription offering. Insight Partners is also affiliated with certain vendors that the Company has contracted to provide technology and software solutions.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Certain members of the Company’s Board of Directors also serve as executive officers for customers of the Company’s Enterprise subscription offering.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tables summarize the Company’s related party transactions (in millions):</w:t>
      </w:r>
    </w:p>
    <w:tbl>
      <w:tblPr>
        <w:tblW w:w="7287" w:type="dxa"/>
        <w:jc w:val="left"/>
        <w:tblInd w:w="0" w:type="dxa"/>
        <w:tblLayout w:type="fixed"/>
        <w:tblCellMar>
          <w:top w:w="28" w:type="dxa"/>
          <w:left w:w="28" w:type="dxa"/>
          <w:bottom w:w="28" w:type="dxa"/>
          <w:right w:w="28" w:type="dxa"/>
        </w:tblCellMar>
      </w:tblPr>
      <w:tblGrid>
        <w:gridCol w:w="1699"/>
        <w:gridCol w:w="1493"/>
        <w:gridCol w:w="1503"/>
        <w:gridCol w:w="293"/>
        <w:gridCol w:w="562"/>
        <w:gridCol w:w="163"/>
        <w:gridCol w:w="163"/>
        <w:gridCol w:w="163"/>
        <w:gridCol w:w="163"/>
        <w:gridCol w:w="293"/>
        <w:gridCol w:w="562"/>
        <w:gridCol w:w="230"/>
      </w:tblGrid>
      <w:tr>
        <w:trPr/>
        <w:tc>
          <w:tcPr>
            <w:tcW w:w="169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4695"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Revenue recognized from services provided to customers</w:t>
            </w:r>
          </w:p>
        </w:tc>
        <w:tc>
          <w:tcPr>
            <w:tcW w:w="1018"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Naspers and affiliates</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Insight and affiliates</w:t>
            </w:r>
          </w:p>
        </w:tc>
        <w:tc>
          <w:tcPr>
            <w:tcW w:w="85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6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3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Companies affiliated with Board members</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immaterial</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Expense recognized from services provided by vendors</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Insight and affiliates</w:t>
            </w:r>
          </w:p>
        </w:tc>
        <w:tc>
          <w:tcPr>
            <w:tcW w:w="85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6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3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876" w:type="dxa"/>
        <w:jc w:val="left"/>
        <w:tblInd w:w="0" w:type="dxa"/>
        <w:tblLayout w:type="fixed"/>
        <w:tblCellMar>
          <w:top w:w="28" w:type="dxa"/>
          <w:left w:w="28" w:type="dxa"/>
          <w:bottom w:w="28" w:type="dxa"/>
          <w:right w:w="28" w:type="dxa"/>
        </w:tblCellMar>
      </w:tblPr>
      <w:tblGrid>
        <w:gridCol w:w="2349"/>
        <w:gridCol w:w="2058"/>
        <w:gridCol w:w="2073"/>
        <w:gridCol w:w="246"/>
        <w:gridCol w:w="472"/>
        <w:gridCol w:w="137"/>
        <w:gridCol w:w="109"/>
        <w:gridCol w:w="109"/>
        <w:gridCol w:w="109"/>
        <w:gridCol w:w="314"/>
        <w:gridCol w:w="652"/>
        <w:gridCol w:w="248"/>
      </w:tblGrid>
      <w:tr>
        <w:trPr/>
        <w:tc>
          <w:tcPr>
            <w:tcW w:w="2349"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6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6480"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Amounts in accounts receivable</w:t>
            </w:r>
          </w:p>
        </w:tc>
        <w:tc>
          <w:tcPr>
            <w:tcW w:w="855"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Naspers and affiliates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Insight and affiliates</w:t>
            </w:r>
          </w:p>
        </w:tc>
        <w:tc>
          <w:tcPr>
            <w:tcW w:w="71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4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Companies affiliated with Board members</w:t>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Amounts in accounts payable and accrued expenses and other current liabilities</w:t>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Insight and affiliates</w:t>
            </w:r>
          </w:p>
        </w:tc>
        <w:tc>
          <w:tcPr>
            <w:tcW w:w="85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immaterial</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10. Stockholders' equity</w:t>
      </w:r>
    </w:p>
    <w:p>
      <w:pPr>
        <w:pStyle w:val="TextBody"/>
        <w:bidi w:val="0"/>
        <w:spacing w:lineRule="auto" w:line="288" w:before="120" w:after="283"/>
        <w:jc w:val="left"/>
        <w:rPr/>
      </w:pPr>
      <w:r>
        <w:rPr>
          <w:rFonts w:ascii="Arial;sans-serif" w:hAnsi="Arial;sans-serif"/>
          <w:b/>
          <w:i/>
          <w:color w:val="000000"/>
          <w:sz w:val="20"/>
          <w:shd w:fill="FFFFFF" w:val="clear"/>
        </w:rPr>
        <w:t>Preferred stock</w:t>
      </w:r>
      <w:r>
        <w:rPr>
          <w:color w:val="000000"/>
          <w:shd w:fill="FFFFFF" w:val="clear"/>
        </w:rPr>
        <w:t xml:space="preserve">— </w:t>
      </w:r>
      <w:r>
        <w:rPr>
          <w:rFonts w:ascii="Arial;sans-serif" w:hAnsi="Arial;sans-serif"/>
          <w:b w:val="false"/>
          <w:color w:val="000000"/>
          <w:sz w:val="20"/>
          <w:shd w:fill="FFFFFF" w:val="clear"/>
        </w:rPr>
        <w:t xml:space="preserve">In connection with the IPO, the Company’s amended and restated certificate of incorporation became effective, which authorized the issuance of 50,000,000 shares of undesignated preferred stock with a par value of $0.00001 per share with rights and preferences, including voting rights, designated from time to time by the board of directors. As of </w:t>
      </w:r>
      <w:r>
        <w:rPr>
          <w:rFonts w:ascii="Arial;sans-serif" w:hAnsi="Arial;sans-serif"/>
          <w:b w:val="false"/>
          <w:color w:val="000000"/>
          <w:sz w:val="20"/>
        </w:rPr>
        <w:t xml:space="preserve">March 31, 2025 and December 31, 2024, there were zero shares of </w:t>
      </w:r>
      <w:r>
        <w:rPr>
          <w:rFonts w:ascii="Arial;sans-serif" w:hAnsi="Arial;sans-serif"/>
          <w:b w:val="false"/>
          <w:color w:val="000000"/>
          <w:sz w:val="20"/>
          <w:shd w:fill="FFFFFF" w:val="clear"/>
        </w:rPr>
        <w:t xml:space="preserve">preferred stock </w:t>
      </w:r>
      <w:r>
        <w:rPr>
          <w:rFonts w:ascii="Arial;sans-serif" w:hAnsi="Arial;sans-serif"/>
          <w:b w:val="false"/>
          <w:color w:val="000000"/>
          <w:sz w:val="20"/>
        </w:rPr>
        <w:t>issued and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jc w:val="left"/>
        <w:rPr/>
      </w:pPr>
      <w:r>
        <w:rPr>
          <w:rFonts w:ascii="Arial;sans-serif" w:hAnsi="Arial;sans-serif"/>
          <w:b/>
          <w:i/>
          <w:color w:val="000000"/>
          <w:sz w:val="20"/>
        </w:rPr>
        <w:t>Common stock</w:t>
      </w:r>
      <w:r>
        <w:rPr>
          <w:color w:val="000000"/>
        </w:rPr>
        <w:t xml:space="preserve">— </w:t>
      </w:r>
      <w:r>
        <w:rPr>
          <w:rFonts w:ascii="Arial;sans-serif" w:hAnsi="Arial;sans-serif"/>
          <w:b w:val="false"/>
          <w:color w:val="000000"/>
          <w:sz w:val="20"/>
        </w:rPr>
        <w:t>Common stockholders are entitled to one vote per share. Shares of common stock reserved for future issuance consisted of the following:</w:t>
      </w:r>
    </w:p>
    <w:tbl>
      <w:tblPr>
        <w:tblW w:w="10205" w:type="dxa"/>
        <w:jc w:val="left"/>
        <w:tblInd w:w="0" w:type="dxa"/>
        <w:tblLayout w:type="fixed"/>
        <w:tblCellMar>
          <w:top w:w="28" w:type="dxa"/>
          <w:left w:w="28" w:type="dxa"/>
          <w:bottom w:w="28" w:type="dxa"/>
          <w:right w:w="28" w:type="dxa"/>
        </w:tblCellMar>
      </w:tblPr>
      <w:tblGrid>
        <w:gridCol w:w="1864"/>
        <w:gridCol w:w="1607"/>
        <w:gridCol w:w="1619"/>
        <w:gridCol w:w="811"/>
        <w:gridCol w:w="817"/>
        <w:gridCol w:w="468"/>
        <w:gridCol w:w="184"/>
        <w:gridCol w:w="184"/>
        <w:gridCol w:w="184"/>
        <w:gridCol w:w="811"/>
        <w:gridCol w:w="817"/>
        <w:gridCol w:w="839"/>
      </w:tblGrid>
      <w:tr>
        <w:trPr/>
        <w:tc>
          <w:tcPr>
            <w:tcW w:w="1864"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5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5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5090"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2010 Equity Incentive Plan:</w:t>
            </w:r>
          </w:p>
        </w:tc>
        <w:tc>
          <w:tcPr>
            <w:tcW w:w="209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 options outstanding</w:t>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1,178,205 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1,401,086 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0"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2021 Equity Incentive Plan:</w:t>
            </w:r>
          </w:p>
        </w:tc>
        <w:tc>
          <w:tcPr>
            <w:tcW w:w="209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RSUs outstanding and PSUs</w:t>
            </w:r>
            <w:r>
              <w:rPr>
                <w:rFonts w:ascii="Arial;sans-serif" w:hAnsi="Arial;sans-serif"/>
                <w:b w:val="false"/>
                <w:color w:val="000000"/>
                <w:sz w:val="10"/>
              </w:rPr>
              <w:t>(1)</w:t>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15,302,200 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15,809,202 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0"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available for future issuance under:</w:t>
            </w:r>
          </w:p>
        </w:tc>
        <w:tc>
          <w:tcPr>
            <w:tcW w:w="209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2021 Equity Incentive Plan</w:t>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17,617,621 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10,514,374 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0"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2021 Employee Stock Purchase Plan</w:t>
            </w:r>
          </w:p>
        </w:tc>
        <w:tc>
          <w:tcPr>
            <w:tcW w:w="1628"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4,460,974 </w:t>
            </w:r>
          </w:p>
        </w:tc>
        <w:tc>
          <w:tcPr>
            <w:tcW w:w="46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2,986,132 </w:t>
            </w:r>
          </w:p>
        </w:tc>
        <w:tc>
          <w:tcPr>
            <w:tcW w:w="83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shares of common stock reserved</w:t>
            </w:r>
          </w:p>
        </w:tc>
        <w:tc>
          <w:tcPr>
            <w:tcW w:w="16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38,559,000 </w:t>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30,710,794 </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DDDDDD"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Arial;sans-serif" w:hAnsi="Arial;sans-serif"/>
                <w:b w:val="false"/>
                <w:color w:val="000000"/>
                <w:sz w:val="14"/>
              </w:rPr>
            </w:pPr>
            <w:r>
              <w:rPr>
                <w:rFonts w:ascii="Arial;sans-serif" w:hAnsi="Arial;sans-serif"/>
                <w:b w:val="false"/>
                <w:color w:val="000000"/>
                <w:sz w:val="14"/>
              </w:rPr>
              <w:t>(1) For those PSUs in their respective performance periods, the number of shares reserved for issuance is based on the maximum achievement of the corporate performance metrics</w:t>
            </w:r>
          </w:p>
        </w:tc>
      </w:tr>
    </w:tbl>
    <w:p>
      <w:pPr>
        <w:pStyle w:val="TextBody"/>
        <w:bidi w:val="0"/>
        <w:spacing w:lineRule="auto" w:line="288" w:before="120" w:after="283"/>
        <w:jc w:val="left"/>
        <w:rPr/>
      </w:pPr>
      <w:r>
        <w:rPr>
          <w:rFonts w:ascii="Arial;sans-serif" w:hAnsi="Arial;sans-serif"/>
          <w:b/>
          <w:i/>
          <w:color w:val="000000"/>
          <w:sz w:val="20"/>
        </w:rPr>
        <w:t xml:space="preserve">Share repurchase program— </w:t>
      </w:r>
      <w:r>
        <w:rPr>
          <w:rFonts w:ascii="Arial;sans-serif" w:hAnsi="Arial;sans-serif"/>
          <w:b w:val="false"/>
          <w:color w:val="000000"/>
          <w:sz w:val="20"/>
        </w:rPr>
        <w:t>During the fiscal year ended December 31, 2024, the Board of Directors approved a share repurchase program, which authorized the purchase of up to $150 million of Udemy common stock from time to time through open market purchases, in privately negotiated transactions, or by other means, including through the use of trading plans intended to qualify under Rule 10b5-1 under the Securities Exchange Act of 1934, as amended, in accordance with applicable securities laws and other restrictions. The share repurchase program was completed in November 2024.</w:t>
      </w:r>
    </w:p>
    <w:p>
      <w:pPr>
        <w:pStyle w:val="TextBody"/>
        <w:bidi w:val="0"/>
        <w:spacing w:lineRule="auto" w:line="288" w:before="120" w:after="283"/>
        <w:jc w:val="left"/>
        <w:rPr/>
      </w:pPr>
      <w:r>
        <w:rPr>
          <w:rFonts w:ascii="Arial;sans-serif" w:hAnsi="Arial;sans-serif"/>
          <w:b/>
          <w:i/>
          <w:color w:val="000000"/>
          <w:sz w:val="20"/>
        </w:rPr>
        <w:t>Equity incentive plans</w:t>
      </w:r>
      <w:r>
        <w:rPr>
          <w:color w:val="000000"/>
        </w:rPr>
        <w:t xml:space="preserve">— </w:t>
      </w:r>
      <w:r>
        <w:rPr>
          <w:rFonts w:ascii="Arial;sans-serif" w:hAnsi="Arial;sans-serif"/>
          <w:b w:val="false"/>
          <w:color w:val="000000"/>
          <w:sz w:val="20"/>
        </w:rPr>
        <w:t>In 2010, the Company adopted the 2010 Equity Incentive Plan (the “2010 Plan”). The 2010 Plan provided for incentive stock options (“ISOs”), non-statutory stock options (“NSOs”, collectively with ISOs, “stock options”), stock appreciation rights (“SARs”), restricted stock, and restricted stock units (“RSUs”) to be granted to eligible employees, directors, and consultants. The 2010 Plan was terminated in October 2021 in connection with the IPO but continues to govern the terms and conditions of the outstanding awards granted pursuant to the 2010 Plan. No further equity awards will be granted under the 2010 Plan.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adopted the 2021 Equity Incentive Plan (the "2021 Plan") in September 2021, which became effective on October 28, 2021 (collectively with the 2010 Plan, the “Equity Incentive Plans”) and was approved by the Company’s stockholders. The 2021 Plan provides for the granting of ISOs, NSOs, SARs, restricted stock, RSUs, and performance awards to eligible employees, directors, and consultants.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initially reserved 13,800,000 shares for issuance under the 2021 Plan. The amount available for issuance is subject to an annual increase on the first day of each calendar year, beginning on January 1, 2023, in an amount equal to 5% of the outstanding shares of the Company’s common stock on the last day of the immediately preceding calendar year or a lesser amount determined by the Company’s Board of Directors or compensation committee. The amount available for issuance shall also include Returning Shares, which are any shares subject to awards granted under the 2010 Plan that, on or after October 29, 2021, expire or otherwise terminate without having been exercised in full, are tendered to or withheld by the Company for payment of an exercise price or for tax withholding obligations, or are forfeited to or repurchased by the Company due to failure to vest. Additionally, any difference in (i) the number of PSUs reserved for future issuance based on maximum achievement of the corporate performance metric and (ii) the number of PSUs issued based on actual attainment are returned to the 2021 Plan.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On January 1, 2025, the shares available for future grants under the 2021 Plan automatically increased by 7,374,214 pursuant to the above evergreen provision of the 2021 Plan. </w:t>
      </w:r>
    </w:p>
    <w:p>
      <w:pPr>
        <w:pStyle w:val="TextBody"/>
        <w:bidi w:val="0"/>
        <w:spacing w:lineRule="auto" w:line="288" w:before="200" w:after="283"/>
        <w:jc w:val="both"/>
        <w:rPr/>
      </w:pPr>
      <w:r>
        <w:rPr>
          <w:rFonts w:ascii="Arial;sans-serif" w:hAnsi="Arial;sans-serif"/>
          <w:b/>
          <w:i/>
          <w:color w:val="000000"/>
          <w:sz w:val="20"/>
        </w:rPr>
        <w:t>Restricted stock units and performance-based restricted stock units</w:t>
      </w:r>
      <w:r>
        <w:rPr>
          <w:color w:val="000000"/>
        </w:rPr>
        <w:t xml:space="preserve">— </w:t>
      </w:r>
      <w:r>
        <w:rPr>
          <w:rFonts w:ascii="Arial;sans-serif" w:hAnsi="Arial;sans-serif"/>
          <w:b w:val="false"/>
          <w:color w:val="000000"/>
          <w:sz w:val="20"/>
        </w:rPr>
        <w:t xml:space="preserve">The fair value of RSUs and PSUs are determined using the fair value of the Company’s common stock on the date of grant. The Company recognizes stock-based compensation expense for RSUs with service-based vesting conditions on a straight-line basis over the requisite service period for each award, which is typically between two to four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Each PSU conveys a right to receive one share of the Company’s common stock on the date it vests, provided that the number of PSUs that will ultimately vest may vary based upon achievement of the corporate performance metrics at the end of the performance period. During the performance period, Management estimates the number of PSUs that are expected to vest based on the anticipated achievement. If the performance-based vesting condition is considered probable of being achieved, the Company recognizes expense over the requisite service period based on the probable outcome of achievement. If the performance goals are not met, or are considered improbable, no compensation cost is recognized, and any previously recognized compensation cost is reversed. Total stock-based compensation expense to be recognized may fluctuate during the performance period due to changes in forecasted achievement.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first quarter of 2025, the Company granted 372,044 PSUs at target to certain executives, with payout achievement ranging from 0% to 150% of target. One third of the eligible PSUs vest upon certification of the corporate performance metrics by the Board of Directors’ compensation committee in the first quarter of 2026, and the remaining two thirds will vest equally over the following 8 quarters, subject to continual service by the grantee. Achievement has been considered probable since the grant date, and, as of March 31, 2025, the Company estimated a payout rate of 90% of target based on forecasted achievement.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first quarter of 2024, the Company granted 553,568 PSUs at target to certain executives, with payout achievement ranging from 0% to 150% of target. In February 2025, the Board of Directors’ compensation committee certified actual achievement against target of 45%. As a result, 218,565 shares were awarded to the grantees, of which one quarter vested in the quarter of certification, while the remaining 75% will vest equally over the following 12 quarters, subject to continual service by the grantee. The difference in the number of shares granted at target and the shares certified by the Board based on actual achievement were canceled and returned to the pool of available for future issuance under the 2021 Plan.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summary of RSU and PSU activity under the 2021 Plan is as follows:</w:t>
      </w:r>
    </w:p>
    <w:tbl>
      <w:tblPr>
        <w:tblW w:w="10205" w:type="dxa"/>
        <w:jc w:val="left"/>
        <w:tblInd w:w="0" w:type="dxa"/>
        <w:tblLayout w:type="fixed"/>
        <w:tblCellMar>
          <w:top w:w="28" w:type="dxa"/>
          <w:left w:w="28" w:type="dxa"/>
          <w:bottom w:w="28" w:type="dxa"/>
          <w:right w:w="28" w:type="dxa"/>
        </w:tblCellMar>
      </w:tblPr>
      <w:tblGrid>
        <w:gridCol w:w="885"/>
        <w:gridCol w:w="776"/>
        <w:gridCol w:w="779"/>
        <w:gridCol w:w="444"/>
        <w:gridCol w:w="444"/>
        <w:gridCol w:w="446"/>
        <w:gridCol w:w="109"/>
        <w:gridCol w:w="109"/>
        <w:gridCol w:w="109"/>
        <w:gridCol w:w="454"/>
        <w:gridCol w:w="1289"/>
        <w:gridCol w:w="252"/>
        <w:gridCol w:w="109"/>
        <w:gridCol w:w="109"/>
        <w:gridCol w:w="109"/>
        <w:gridCol w:w="468"/>
        <w:gridCol w:w="468"/>
        <w:gridCol w:w="470"/>
        <w:gridCol w:w="109"/>
        <w:gridCol w:w="109"/>
        <w:gridCol w:w="109"/>
        <w:gridCol w:w="441"/>
        <w:gridCol w:w="1253"/>
        <w:gridCol w:w="355"/>
      </w:tblGrid>
      <w:tr>
        <w:trPr/>
        <w:tc>
          <w:tcPr>
            <w:tcW w:w="88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RSUs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PSUs Outstanding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Grant Date Fair Value</w:t>
            </w:r>
          </w:p>
        </w:tc>
      </w:tr>
      <w:tr>
        <w:trPr/>
        <w:tc>
          <w:tcPr>
            <w:tcW w:w="244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 - December 31, 2024</w:t>
            </w:r>
          </w:p>
        </w:tc>
        <w:tc>
          <w:tcPr>
            <w:tcW w:w="13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14,892,768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10.74 </w:t>
            </w:r>
          </w:p>
        </w:tc>
        <w:tc>
          <w:tcPr>
            <w:tcW w:w="25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673,578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10.40 </w:t>
            </w:r>
          </w:p>
        </w:tc>
        <w:tc>
          <w:tcPr>
            <w:tcW w:w="3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Granted </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2,226,762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Released</w:t>
            </w:r>
          </w:p>
        </w:tc>
        <w:tc>
          <w:tcPr>
            <w:tcW w:w="13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(1,478,809)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12.58 </w:t>
            </w:r>
          </w:p>
        </w:tc>
        <w:tc>
          <w:tcPr>
            <w:tcW w:w="2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(75,520)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5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10.40 </w:t>
            </w:r>
          </w:p>
        </w:tc>
        <w:tc>
          <w:tcPr>
            <w:tcW w:w="3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Canceled</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(1,209,407)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10.98 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 - March 31, 2025</w:t>
            </w:r>
          </w:p>
        </w:tc>
        <w:tc>
          <w:tcPr>
            <w:tcW w:w="13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14,431,314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10.15 </w:t>
            </w:r>
          </w:p>
        </w:tc>
        <w:tc>
          <w:tcPr>
            <w:tcW w:w="25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684,877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8.98 </w:t>
            </w:r>
          </w:p>
        </w:tc>
        <w:tc>
          <w:tcPr>
            <w:tcW w:w="3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Unvested - March 31, 2025</w:t>
            </w:r>
          </w:p>
        </w:tc>
        <w:tc>
          <w:tcPr>
            <w:tcW w:w="133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14,408,951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10.16 </w:t>
            </w:r>
          </w:p>
        </w:tc>
        <w:tc>
          <w:tcPr>
            <w:tcW w:w="2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684,877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8.98 </w:t>
            </w:r>
          </w:p>
        </w:tc>
        <w:tc>
          <w:tcPr>
            <w:tcW w:w="3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Awards vested, not yet released - March 31, 2025</w:t>
            </w:r>
          </w:p>
        </w:tc>
        <w:tc>
          <w:tcPr>
            <w:tcW w:w="1334" w:type="dxa"/>
            <w:gridSpan w:val="3"/>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22,363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8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8.49 </w:t>
            </w:r>
          </w:p>
        </w:tc>
        <w:tc>
          <w:tcPr>
            <w:tcW w:w="252"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53"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 Canceled PSU shares consist of awards forfeited as well as the difference in the number of shares granted at target and the shares certified by the Board based on actual achievement.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of March 31, 2025, total unrecognized stock-based compensation expense related to unvested RSUs was $123.5 million, which will be recognized over a weighted average period of 2.5 years.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of March 31, 2025, total unrecognized stock-based compensation expense related to unvested PSUs was $3.2 million, which will be recognized over a weighted average period of 1.6 years. </w:t>
      </w:r>
    </w:p>
    <w:p>
      <w:pPr>
        <w:pStyle w:val="TextBody"/>
        <w:bidi w:val="0"/>
        <w:spacing w:lineRule="auto" w:line="288" w:before="120" w:after="283"/>
        <w:jc w:val="left"/>
        <w:rPr/>
      </w:pPr>
      <w:r>
        <w:rPr>
          <w:rFonts w:ascii="Arial;sans-serif" w:hAnsi="Arial;sans-serif"/>
          <w:b/>
          <w:i/>
          <w:color w:val="000000"/>
          <w:sz w:val="20"/>
        </w:rPr>
        <w:t>Stock options</w:t>
      </w:r>
      <w:r>
        <w:rPr>
          <w:color w:val="000000"/>
        </w:rPr>
        <w:t xml:space="preserve">— </w:t>
      </w:r>
      <w:r>
        <w:rPr>
          <w:rFonts w:ascii="Arial;sans-serif" w:hAnsi="Arial;sans-serif"/>
          <w:b w:val="false"/>
          <w:color w:val="000000"/>
          <w:sz w:val="20"/>
        </w:rPr>
        <w:t>The Company may grant stock options at exercise prices not less than the fair market value at the date of grant. These options generally expire 10 years from the date of grant. The Company recognizes stock-based compensation expense on a straight-line basis over the requisite service period for each award, which is generally even over four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is a summary of activity for stock options having only service-based vesting conditions under the Equity Incentive Plans:</w:t>
      </w:r>
    </w:p>
    <w:tbl>
      <w:tblPr>
        <w:tblW w:w="10205" w:type="dxa"/>
        <w:jc w:val="left"/>
        <w:tblInd w:w="0" w:type="dxa"/>
        <w:tblLayout w:type="fixed"/>
        <w:tblCellMar>
          <w:top w:w="28" w:type="dxa"/>
          <w:left w:w="28" w:type="dxa"/>
          <w:bottom w:w="28" w:type="dxa"/>
          <w:right w:w="28" w:type="dxa"/>
        </w:tblCellMar>
      </w:tblPr>
      <w:tblGrid>
        <w:gridCol w:w="833"/>
        <w:gridCol w:w="731"/>
        <w:gridCol w:w="735"/>
        <w:gridCol w:w="543"/>
        <w:gridCol w:w="468"/>
        <w:gridCol w:w="470"/>
        <w:gridCol w:w="109"/>
        <w:gridCol w:w="109"/>
        <w:gridCol w:w="109"/>
        <w:gridCol w:w="416"/>
        <w:gridCol w:w="992"/>
        <w:gridCol w:w="233"/>
        <w:gridCol w:w="109"/>
        <w:gridCol w:w="109"/>
        <w:gridCol w:w="109"/>
        <w:gridCol w:w="751"/>
        <w:gridCol w:w="751"/>
        <w:gridCol w:w="753"/>
        <w:gridCol w:w="109"/>
        <w:gridCol w:w="109"/>
        <w:gridCol w:w="109"/>
        <w:gridCol w:w="332"/>
        <w:gridCol w:w="944"/>
        <w:gridCol w:w="272"/>
      </w:tblGrid>
      <w:tr>
        <w:trPr/>
        <w:tc>
          <w:tcPr>
            <w:tcW w:w="83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Options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 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 Average Remaining Contractual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Aggregate Intrinsic Value </w:t>
              <w:br/>
              <w:t>(In Thousands)</w:t>
            </w:r>
          </w:p>
        </w:tc>
      </w:tr>
      <w:tr>
        <w:trPr/>
        <w:tc>
          <w:tcPr>
            <w:tcW w:w="2299" w:type="dxa"/>
            <w:gridSpan w:val="3"/>
            <w:tcBorders/>
            <w:shd w:fill="DDDDDD"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Balance - December 31, 2024</w:t>
            </w:r>
          </w:p>
        </w:tc>
        <w:tc>
          <w:tcPr>
            <w:tcW w:w="101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1,351,086 </w:t>
            </w:r>
          </w:p>
        </w:tc>
        <w:tc>
          <w:tcPr>
            <w:tcW w:w="470"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2"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5.28 </w:t>
            </w:r>
          </w:p>
        </w:tc>
        <w:tc>
          <w:tcPr>
            <w:tcW w:w="233"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4.05</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4"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4,666 </w:t>
            </w:r>
          </w:p>
        </w:tc>
        <w:tc>
          <w:tcPr>
            <w:tcW w:w="272"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Granted </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Exercised </w:t>
            </w:r>
          </w:p>
        </w:tc>
        <w:tc>
          <w:tcPr>
            <w:tcW w:w="1011"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(148,557)</w:t>
            </w:r>
          </w:p>
        </w:tc>
        <w:tc>
          <w:tcPr>
            <w:tcW w:w="47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3.92 </w:t>
            </w:r>
          </w:p>
        </w:tc>
        <w:tc>
          <w:tcPr>
            <w:tcW w:w="23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Canceled </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(74,324)</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DDDDDD"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Balance - March 31, 2025 </w:t>
            </w:r>
          </w:p>
        </w:tc>
        <w:tc>
          <w:tcPr>
            <w:tcW w:w="101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1,128,205 </w:t>
            </w:r>
          </w:p>
        </w:tc>
        <w:tc>
          <w:tcPr>
            <w:tcW w:w="470"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2"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5.35 </w:t>
            </w:r>
          </w:p>
        </w:tc>
        <w:tc>
          <w:tcPr>
            <w:tcW w:w="233"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4.27</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4"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3,382 </w:t>
            </w:r>
          </w:p>
        </w:tc>
        <w:tc>
          <w:tcPr>
            <w:tcW w:w="27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Vested &amp; expected to vest as of March 31, 2025 </w:t>
            </w:r>
          </w:p>
        </w:tc>
        <w:tc>
          <w:tcPr>
            <w:tcW w:w="10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1,128,205 </w:t>
            </w:r>
          </w:p>
        </w:tc>
        <w:tc>
          <w:tcPr>
            <w:tcW w:w="4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5.35 </w:t>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3,382 </w:t>
            </w:r>
          </w:p>
        </w:tc>
        <w:tc>
          <w:tcPr>
            <w:tcW w:w="27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DDDDDD"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Exercisable as of March 31, 2025 </w:t>
            </w:r>
          </w:p>
        </w:tc>
        <w:tc>
          <w:tcPr>
            <w:tcW w:w="1011" w:type="dxa"/>
            <w:gridSpan w:val="2"/>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1,127,592 </w:t>
            </w:r>
          </w:p>
        </w:tc>
        <w:tc>
          <w:tcPr>
            <w:tcW w:w="470" w:type="dxa"/>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2" w:type="dxa"/>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233" w:type="dxa"/>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4.27</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4" w:type="dxa"/>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3,382 </w:t>
            </w:r>
          </w:p>
        </w:tc>
        <w:tc>
          <w:tcPr>
            <w:tcW w:w="272" w:type="dxa"/>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March 31, 2025, total unrecognized stock-based compensation expense related to unvested stock options was immaterial.</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Performance-based stock options</w:t>
      </w:r>
      <w:r>
        <w:rPr>
          <w:color w:val="000000"/>
        </w:rPr>
        <w:t xml:space="preserve">— </w:t>
      </w:r>
      <w:r>
        <w:rPr>
          <w:rFonts w:ascii="Arial;sans-serif" w:hAnsi="Arial;sans-serif"/>
          <w:b w:val="false"/>
          <w:color w:val="000000"/>
          <w:sz w:val="20"/>
        </w:rPr>
        <w:t>Other than those described below, there have been no other changes to the Company’s performance-based stock options compared to those described in Note 11— Stockholders’ equity, included in Part II, Item 8 of the Company’s Annual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March 31, 2025, there were 50,000 performance-based stock options outstanding, of which 41,666 were exercisable. As of March 31, 2025, total unrecognized stock-based compensation expense related to unvested Performance-Based Options was immaterial.</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Employee stock purchase plan</w:t>
      </w:r>
      <w:r>
        <w:rPr>
          <w:color w:val="000000"/>
        </w:rPr>
        <w:t xml:space="preserve">— </w:t>
      </w:r>
      <w:r>
        <w:rPr>
          <w:rFonts w:ascii="Arial;sans-serif" w:hAnsi="Arial;sans-serif"/>
          <w:b w:val="false"/>
          <w:color w:val="000000"/>
          <w:sz w:val="20"/>
        </w:rPr>
        <w:t>The 2021 Employee Stock Purchase Plan (the “ESPP”) became effective on October 29, 2021. The Company initially reserved 2,800,000 shares of the Company's common stock under the ESPP. Shares reserved for issuance shall increase on the first day of the fiscal year, beginning in fiscal 2023, in an amount equal to the least of 1% of the outstanding shares of common stock on the last day of the immediately preceding fiscal year, three times the initial number of shares reserved under the ESPP, or a lesser amount determined by the Company’s Board of Directors or compensation committee. On January 1, 2025, the shares available for future grants under the ESPP automatically increased by 1,474,842 pursuant to the above evergreen provision of the 2021 ESPP.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March 31, 2025, total unrecognized compensation cost for the ESPP was $4.1 million, which will be recognized over a weighted average period of 1.6 years.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Total stock-based compensation expense included in the condensed consolidated statements of operations was as follows (in thousands):</w:t>
      </w:r>
    </w:p>
    <w:tbl>
      <w:tblPr>
        <w:tblW w:w="5771" w:type="dxa"/>
        <w:jc w:val="left"/>
        <w:tblInd w:w="0" w:type="dxa"/>
        <w:tblLayout w:type="fixed"/>
        <w:tblCellMar>
          <w:top w:w="28" w:type="dxa"/>
          <w:left w:w="28" w:type="dxa"/>
          <w:bottom w:w="28" w:type="dxa"/>
          <w:right w:w="28" w:type="dxa"/>
        </w:tblCellMar>
      </w:tblPr>
      <w:tblGrid>
        <w:gridCol w:w="1151"/>
        <w:gridCol w:w="1011"/>
        <w:gridCol w:w="1018"/>
        <w:gridCol w:w="223"/>
        <w:gridCol w:w="737"/>
        <w:gridCol w:w="124"/>
        <w:gridCol w:w="124"/>
        <w:gridCol w:w="124"/>
        <w:gridCol w:w="124"/>
        <w:gridCol w:w="223"/>
        <w:gridCol w:w="737"/>
        <w:gridCol w:w="175"/>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1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2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1,572 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1,657 </w:t>
            </w:r>
          </w:p>
        </w:tc>
        <w:tc>
          <w:tcPr>
            <w:tcW w:w="1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9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4,708 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6,675 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stock-based compensation expense</w:t>
            </w:r>
          </w:p>
        </w:tc>
        <w:tc>
          <w:tcPr>
            <w:tcW w:w="22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17,967 </w:t>
            </w:r>
          </w:p>
        </w:tc>
        <w:tc>
          <w:tcPr>
            <w:tcW w:w="1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22,705 </w:t>
            </w:r>
          </w:p>
        </w:tc>
        <w:tc>
          <w:tcPr>
            <w:tcW w:w="17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capitalized $1.6 million and $2.3 million worth of stock-based compensation expense as capitalized software during the three months ended March 31, 2025 and 2024,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11. Net loss per share</w:t>
      </w:r>
    </w:p>
    <w:p>
      <w:pPr>
        <w:pStyle w:val="TextBody"/>
        <w:bidi w:val="0"/>
        <w:spacing w:lineRule="auto" w:line="288" w:before="20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presents the calculation of basic and diluted net loss per share (in thousands, except share and per share amounts):</w:t>
      </w:r>
    </w:p>
    <w:p>
      <w:pPr>
        <w:pStyle w:val="TextBody"/>
        <w:bidi w:val="0"/>
        <w:spacing w:before="0" w:after="0"/>
        <w:jc w:val="left"/>
        <w:rPr/>
      </w:pPr>
      <w:r>
        <w:rPr/>
      </w:r>
    </w:p>
    <w:tbl>
      <w:tblPr>
        <w:tblW w:w="7496" w:type="dxa"/>
        <w:jc w:val="left"/>
        <w:tblInd w:w="0" w:type="dxa"/>
        <w:tblLayout w:type="fixed"/>
        <w:tblCellMar>
          <w:top w:w="28" w:type="dxa"/>
          <w:left w:w="28" w:type="dxa"/>
          <w:bottom w:w="28" w:type="dxa"/>
          <w:right w:w="28" w:type="dxa"/>
        </w:tblCellMar>
      </w:tblPr>
      <w:tblGrid>
        <w:gridCol w:w="1712"/>
        <w:gridCol w:w="1504"/>
        <w:gridCol w:w="1523"/>
        <w:gridCol w:w="268"/>
        <w:gridCol w:w="783"/>
        <w:gridCol w:w="121"/>
        <w:gridCol w:w="121"/>
        <w:gridCol w:w="121"/>
        <w:gridCol w:w="121"/>
        <w:gridCol w:w="240"/>
        <w:gridCol w:w="811"/>
        <w:gridCol w:w="171"/>
      </w:tblGrid>
      <w:tr>
        <w:trPr/>
        <w:tc>
          <w:tcPr>
            <w:tcW w:w="1712"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7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Numerator:</w:t>
            </w:r>
          </w:p>
        </w:tc>
        <w:tc>
          <w:tcPr>
            <w:tcW w:w="117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(18,339)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Denominator: </w:t>
            </w:r>
          </w:p>
        </w:tc>
        <w:tc>
          <w:tcPr>
            <w:tcW w:w="11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Weighted-average shares used in computing net loss per share</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Basic and diluted</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148,027,183 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156,570,426 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per share</w:t>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Basic and diluted</w:t>
            </w:r>
          </w:p>
        </w:tc>
        <w:tc>
          <w:tcPr>
            <w:tcW w:w="26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potentially dilutive securities were excluded from the computation of diluted net loss per share because the impact of including them would have been anti-dilutive:</w:t>
      </w:r>
    </w:p>
    <w:tbl>
      <w:tblPr>
        <w:tblW w:w="6561" w:type="dxa"/>
        <w:jc w:val="left"/>
        <w:tblInd w:w="0" w:type="dxa"/>
        <w:tblLayout w:type="fixed"/>
        <w:tblCellMar>
          <w:top w:w="28" w:type="dxa"/>
          <w:left w:w="28" w:type="dxa"/>
          <w:bottom w:w="28" w:type="dxa"/>
          <w:right w:w="28" w:type="dxa"/>
        </w:tblCellMar>
      </w:tblPr>
      <w:tblGrid>
        <w:gridCol w:w="1142"/>
        <w:gridCol w:w="1002"/>
        <w:gridCol w:w="1006"/>
        <w:gridCol w:w="667"/>
        <w:gridCol w:w="294"/>
        <w:gridCol w:w="275"/>
        <w:gridCol w:w="275"/>
        <w:gridCol w:w="275"/>
        <w:gridCol w:w="275"/>
        <w:gridCol w:w="667"/>
        <w:gridCol w:w="294"/>
        <w:gridCol w:w="389"/>
      </w:tblGrid>
      <w:tr>
        <w:trPr/>
        <w:tc>
          <w:tcPr>
            <w:tcW w:w="11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8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3150"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RSUs, PSUs, and restricted stock </w:t>
            </w:r>
          </w:p>
        </w:tc>
        <w:tc>
          <w:tcPr>
            <w:tcW w:w="96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15,066,580 </w:t>
            </w:r>
          </w:p>
        </w:tc>
        <w:tc>
          <w:tcPr>
            <w:tcW w:w="275"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15,836,298 </w:t>
            </w:r>
          </w:p>
        </w:tc>
        <w:tc>
          <w:tcPr>
            <w:tcW w:w="38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1,178,205 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3,796,330 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Contingently issuable shares under ESPP</w:t>
            </w:r>
          </w:p>
        </w:tc>
        <w:tc>
          <w:tcPr>
            <w:tcW w:w="96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307,250 </w:t>
            </w:r>
          </w:p>
        </w:tc>
        <w:tc>
          <w:tcPr>
            <w:tcW w:w="27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445,934 </w:t>
            </w:r>
          </w:p>
        </w:tc>
        <w:tc>
          <w:tcPr>
            <w:tcW w:w="38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potentially dilutive securities</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16,552,035 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20,078,562 </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12. Segment and geographic information</w:t>
      </w:r>
    </w:p>
    <w:p>
      <w:pPr>
        <w:pStyle w:val="TextBody"/>
        <w:bidi w:val="0"/>
        <w:spacing w:lineRule="auto" w:line="288" w:before="20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Company’s Chief Executive Officer is its CODM. The CODM reviews separate financial information for the Company’s two operating and reportable segments, Enterprise and Consumer, in order to allocate resources and evaluate the Company’s financial performance.</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Enterprise segment primarily generates revenue by selling subscription licenses to a variety of enterprise and government customers. The Consumer segment primarily generates revenue by selling access to course content directly to individual learners. The CODM assesses each segment's performance based on segment adjusted gross profit. The CODM uses segment adjusted gross profit during the annual budgeting process and considers budget to actual variances on a monthly basis when making decisions about the allocation of resources to each segment.</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Segment adjusted gross profit, as presented below, is defined as segment revenue less segment adjusted cost of revenue. Segment adjusted cost of revenue includes content costs, customer support services, hosting and platform costs, and payment processing fees that are allocable to each segment. Segment adjusted gross profit excludes amortization of capitalized software, depreciation, stock-based compensation, and amortization of intangible assets included in cost of revenue, as the CODM does not include the information in his measurement of the performance of the operating segments. Additionally, the Company does not allocate sales and marketing expenses, research and development expenses, and general and administrative expenses because the CODM does not include the information in his measurement of the performance of the operating segments. The Udemy platform supports the operations of each segment.</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CODM does not use asset information by segments to assess performance and make decisions regarding allocation of resources, and the Company does not track its long-lived assets by segment. The geographic identification of these assets is set forth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Financial information for each reportable segment was as follows (in thousands):</w:t>
      </w:r>
    </w:p>
    <w:tbl>
      <w:tblPr>
        <w:tblW w:w="6026" w:type="dxa"/>
        <w:jc w:val="left"/>
        <w:tblInd w:w="0" w:type="dxa"/>
        <w:tblLayout w:type="fixed"/>
        <w:tblCellMar>
          <w:top w:w="28" w:type="dxa"/>
          <w:left w:w="28" w:type="dxa"/>
          <w:bottom w:w="28" w:type="dxa"/>
          <w:right w:w="28" w:type="dxa"/>
        </w:tblCellMar>
      </w:tblPr>
      <w:tblGrid>
        <w:gridCol w:w="832"/>
        <w:gridCol w:w="728"/>
        <w:gridCol w:w="734"/>
        <w:gridCol w:w="196"/>
        <w:gridCol w:w="736"/>
        <w:gridCol w:w="109"/>
        <w:gridCol w:w="109"/>
        <w:gridCol w:w="109"/>
        <w:gridCol w:w="109"/>
        <w:gridCol w:w="196"/>
        <w:gridCol w:w="646"/>
        <w:gridCol w:w="109"/>
        <w:gridCol w:w="109"/>
        <w:gridCol w:w="109"/>
        <w:gridCol w:w="109"/>
        <w:gridCol w:w="196"/>
        <w:gridCol w:w="736"/>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 2025</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Enterprise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Consumer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22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127,748 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72,552 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200,300 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Content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(45,177)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Customer support</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(9,885)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(1,676)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(11,561)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Other segment items </w:t>
            </w:r>
            <w:r>
              <w:rPr>
                <w:rFonts w:ascii="Arial;sans-serif" w:hAnsi="Arial;sans-serif"/>
                <w:b w:val="false"/>
                <w:color w:val="000000"/>
                <w:sz w:val="10"/>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Segment adjusted gross profit</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95,984 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40,401 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136,385 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26" w:type="dxa"/>
        <w:jc w:val="left"/>
        <w:tblInd w:w="0" w:type="dxa"/>
        <w:tblLayout w:type="fixed"/>
        <w:tblCellMar>
          <w:top w:w="28" w:type="dxa"/>
          <w:left w:w="28" w:type="dxa"/>
          <w:bottom w:w="28" w:type="dxa"/>
          <w:right w:w="28" w:type="dxa"/>
        </w:tblCellMar>
      </w:tblPr>
      <w:tblGrid>
        <w:gridCol w:w="832"/>
        <w:gridCol w:w="728"/>
        <w:gridCol w:w="734"/>
        <w:gridCol w:w="196"/>
        <w:gridCol w:w="736"/>
        <w:gridCol w:w="109"/>
        <w:gridCol w:w="109"/>
        <w:gridCol w:w="109"/>
        <w:gridCol w:w="109"/>
        <w:gridCol w:w="196"/>
        <w:gridCol w:w="646"/>
        <w:gridCol w:w="109"/>
        <w:gridCol w:w="109"/>
        <w:gridCol w:w="109"/>
        <w:gridCol w:w="109"/>
        <w:gridCol w:w="196"/>
        <w:gridCol w:w="736"/>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 2024</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Enterprise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Consumer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22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117,640 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79,206 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196,846 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Content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Customer support</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(10,484)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(1,831)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(12,315)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Other segment items </w:t>
            </w:r>
            <w:r>
              <w:rPr>
                <w:rFonts w:ascii="Arial;sans-serif" w:hAnsi="Arial;sans-serif"/>
                <w:b w:val="false"/>
                <w:color w:val="000000"/>
                <w:sz w:val="10"/>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Segment adjusted gross profit</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84,642 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43,208 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127,850 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(1) Other segment items for each segment across all periods presented consisted of payment and mobile processing fees and costs associated with hosting digital content.</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provides a reconciliation from segment adjusted gross profit to net loss before taxes (in thousands):</w:t>
      </w:r>
    </w:p>
    <w:tbl>
      <w:tblPr>
        <w:tblW w:w="4887" w:type="dxa"/>
        <w:jc w:val="left"/>
        <w:tblInd w:w="0" w:type="dxa"/>
        <w:tblLayout w:type="fixed"/>
        <w:tblCellMar>
          <w:top w:w="28" w:type="dxa"/>
          <w:left w:w="28" w:type="dxa"/>
          <w:bottom w:w="28" w:type="dxa"/>
          <w:right w:w="28" w:type="dxa"/>
        </w:tblCellMar>
      </w:tblPr>
      <w:tblGrid>
        <w:gridCol w:w="830"/>
        <w:gridCol w:w="731"/>
        <w:gridCol w:w="734"/>
        <w:gridCol w:w="207"/>
        <w:gridCol w:w="778"/>
        <w:gridCol w:w="115"/>
        <w:gridCol w:w="115"/>
        <w:gridCol w:w="115"/>
        <w:gridCol w:w="115"/>
        <w:gridCol w:w="207"/>
        <w:gridCol w:w="778"/>
        <w:gridCol w:w="162"/>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2295" w:type="dxa"/>
            <w:gridSpan w:val="3"/>
            <w:tcBorders/>
            <w:shd w:fill="DDDDDD"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Segment adjusted gross profit</w:t>
            </w:r>
          </w:p>
        </w:tc>
        <w:tc>
          <w:tcPr>
            <w:tcW w:w="207"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136,385 </w:t>
            </w:r>
          </w:p>
        </w:tc>
        <w:tc>
          <w:tcPr>
            <w:tcW w:w="115"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127,850 </w:t>
            </w:r>
          </w:p>
        </w:tc>
        <w:tc>
          <w:tcPr>
            <w:tcW w:w="162"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Other costs of revenue </w:t>
            </w:r>
            <w:r>
              <w:rPr>
                <w:rFonts w:ascii="Arial;sans-serif" w:hAnsi="Arial;sans-serif"/>
                <w:b w:val="false"/>
                <w:color w:val="000000"/>
                <w:sz w:val="10"/>
              </w:rPr>
              <w:t>(1)</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(6,942)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(7,286)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(82,500)</w:t>
            </w:r>
          </w:p>
        </w:tc>
        <w:tc>
          <w:tcPr>
            <w:tcW w:w="11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(87,301)</w:t>
            </w:r>
          </w:p>
        </w:tc>
        <w:tc>
          <w:tcPr>
            <w:tcW w:w="16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(24,958)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(31,223)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(25,008)</w:t>
            </w:r>
          </w:p>
        </w:tc>
        <w:tc>
          <w:tcPr>
            <w:tcW w:w="11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(24,769)</w:t>
            </w:r>
          </w:p>
        </w:tc>
        <w:tc>
          <w:tcPr>
            <w:tcW w:w="16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net</w:t>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3,658 </w:t>
            </w:r>
          </w:p>
        </w:tc>
        <w:tc>
          <w:tcPr>
            <w:tcW w:w="11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5,417 </w:t>
            </w:r>
          </w:p>
        </w:tc>
        <w:tc>
          <w:tcPr>
            <w:tcW w:w="16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before taxes</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(834)</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(17,312)</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(1) Consists of amortization of capitalized software, depreciation, stock-based compensation, and amortization of intangible assets that are included in cost of revenue but excluded from segment adjusted gross profit.</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Geographic information</w:t>
      </w:r>
    </w:p>
    <w:p>
      <w:pPr>
        <w:pStyle w:val="TextBody"/>
        <w:bidi w:val="0"/>
        <w:spacing w:lineRule="auto" w:line="288" w:before="200" w:after="283"/>
        <w:jc w:val="left"/>
        <w:rPr/>
      </w:pPr>
      <w:r>
        <w:rPr>
          <w:rFonts w:ascii="Arial;sans-serif" w:hAnsi="Arial;sans-serif"/>
          <w:b w:val="false"/>
          <w:i/>
          <w:color w:val="000000"/>
          <w:sz w:val="20"/>
          <w:shd w:fill="FFFFFF" w:val="clear"/>
        </w:rPr>
        <w:t>Revenue</w:t>
      </w:r>
      <w:r>
        <w:rPr>
          <w:rFonts w:ascii="Arial;sans-serif" w:hAnsi="Arial;sans-serif"/>
          <w:b w:val="false"/>
          <w:color w:val="000000"/>
          <w:sz w:val="20"/>
          <w:shd w:fill="FFFFFF" w:val="clear"/>
        </w:rPr>
        <w:t>: The following table summarizes the revenue by region based on the billing address of the Company’s customers (in thousands):</w:t>
      </w:r>
    </w:p>
    <w:tbl>
      <w:tblPr>
        <w:tblW w:w="4677" w:type="dxa"/>
        <w:jc w:val="left"/>
        <w:tblInd w:w="0" w:type="dxa"/>
        <w:tblLayout w:type="fixed"/>
        <w:tblCellMar>
          <w:top w:w="28" w:type="dxa"/>
          <w:left w:w="28" w:type="dxa"/>
          <w:bottom w:w="28" w:type="dxa"/>
          <w:right w:w="28" w:type="dxa"/>
        </w:tblCellMar>
      </w:tblPr>
      <w:tblGrid>
        <w:gridCol w:w="754"/>
        <w:gridCol w:w="662"/>
        <w:gridCol w:w="669"/>
        <w:gridCol w:w="207"/>
        <w:gridCol w:w="778"/>
        <w:gridCol w:w="115"/>
        <w:gridCol w:w="115"/>
        <w:gridCol w:w="115"/>
        <w:gridCol w:w="115"/>
        <w:gridCol w:w="207"/>
        <w:gridCol w:w="778"/>
        <w:gridCol w:w="162"/>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2085"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207"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78,478 </w:t>
            </w:r>
          </w:p>
        </w:tc>
        <w:tc>
          <w:tcPr>
            <w:tcW w:w="115"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77,221 </w:t>
            </w:r>
          </w:p>
        </w:tc>
        <w:tc>
          <w:tcPr>
            <w:tcW w:w="162"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Europe, Middle East, Africa</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60,261 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61,357 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Asia Pacific</w:t>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47,894 </w:t>
            </w:r>
          </w:p>
        </w:tc>
        <w:tc>
          <w:tcPr>
            <w:tcW w:w="11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44,878 </w:t>
            </w:r>
          </w:p>
        </w:tc>
        <w:tc>
          <w:tcPr>
            <w:tcW w:w="16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Latin America</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revenue</w:t>
            </w:r>
          </w:p>
        </w:tc>
        <w:tc>
          <w:tcPr>
            <w:tcW w:w="207"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200,300 </w:t>
            </w:r>
          </w:p>
        </w:tc>
        <w:tc>
          <w:tcPr>
            <w:tcW w:w="115"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196,846 </w:t>
            </w:r>
          </w:p>
        </w:tc>
        <w:tc>
          <w:tcPr>
            <w:tcW w:w="162"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following table presents the percentage of revenue recognized in countries that individually accounted for at least 10% of total revenue for the periods presented:</w:t>
      </w:r>
    </w:p>
    <w:tbl>
      <w:tblPr>
        <w:tblW w:w="3686" w:type="dxa"/>
        <w:jc w:val="left"/>
        <w:tblInd w:w="0" w:type="dxa"/>
        <w:tblLayout w:type="fixed"/>
        <w:tblCellMar>
          <w:top w:w="28" w:type="dxa"/>
          <w:left w:w="28" w:type="dxa"/>
          <w:bottom w:w="28" w:type="dxa"/>
          <w:right w:w="28" w:type="dxa"/>
        </w:tblCellMar>
      </w:tblPr>
      <w:tblGrid>
        <w:gridCol w:w="396"/>
        <w:gridCol w:w="347"/>
        <w:gridCol w:w="351"/>
        <w:gridCol w:w="214"/>
        <w:gridCol w:w="214"/>
        <w:gridCol w:w="503"/>
        <w:gridCol w:w="214"/>
        <w:gridCol w:w="214"/>
        <w:gridCol w:w="214"/>
        <w:gridCol w:w="214"/>
        <w:gridCol w:w="214"/>
        <w:gridCol w:w="591"/>
      </w:tblGrid>
      <w:tr>
        <w:trPr/>
        <w:tc>
          <w:tcPr>
            <w:tcW w:w="3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6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109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United States</w:t>
            </w:r>
          </w:p>
        </w:tc>
        <w:tc>
          <w:tcPr>
            <w:tcW w:w="42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5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6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5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Japan</w:t>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00" w:after="283"/>
        <w:jc w:val="left"/>
        <w:rPr/>
      </w:pPr>
      <w:r>
        <w:rPr>
          <w:rFonts w:ascii="Arial;sans-serif" w:hAnsi="Arial;sans-serif"/>
          <w:b w:val="false"/>
          <w:i/>
          <w:color w:val="000000"/>
          <w:sz w:val="20"/>
          <w:shd w:fill="FFFFFF" w:val="clear"/>
        </w:rPr>
        <w:t>Long-lived assets</w:t>
      </w:r>
      <w:r>
        <w:rPr>
          <w:rFonts w:ascii="Arial;sans-serif" w:hAnsi="Arial;sans-serif"/>
          <w:b w:val="false"/>
          <w:color w:val="000000"/>
          <w:sz w:val="20"/>
          <w:shd w:fill="FFFFFF" w:val="clear"/>
        </w:rPr>
        <w:t>: The following table presents the Company’s long-lived assets, which consist of tangible property and equipment, net of depreciation, and operating lease ROU assets, by geographic region (in thousands):</w:t>
      </w:r>
    </w:p>
    <w:tbl>
      <w:tblPr>
        <w:tblW w:w="4247" w:type="dxa"/>
        <w:jc w:val="left"/>
        <w:tblInd w:w="0" w:type="dxa"/>
        <w:tblLayout w:type="fixed"/>
        <w:tblCellMar>
          <w:top w:w="28" w:type="dxa"/>
          <w:left w:w="28" w:type="dxa"/>
          <w:bottom w:w="28" w:type="dxa"/>
          <w:right w:w="28" w:type="dxa"/>
        </w:tblCellMar>
      </w:tblPr>
      <w:tblGrid>
        <w:gridCol w:w="635"/>
        <w:gridCol w:w="556"/>
        <w:gridCol w:w="563"/>
        <w:gridCol w:w="196"/>
        <w:gridCol w:w="646"/>
        <w:gridCol w:w="109"/>
        <w:gridCol w:w="109"/>
        <w:gridCol w:w="109"/>
        <w:gridCol w:w="109"/>
        <w:gridCol w:w="239"/>
        <w:gridCol w:w="788"/>
        <w:gridCol w:w="188"/>
      </w:tblGrid>
      <w:tr>
        <w:trPr/>
        <w:tc>
          <w:tcPr>
            <w:tcW w:w="63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754" w:type="dxa"/>
            <w:gridSpan w:val="3"/>
            <w:tcBorders/>
            <w:shd w:fill="DDDDDD"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United States</w:t>
            </w:r>
          </w:p>
        </w:tc>
        <w:tc>
          <w:tcPr>
            <w:tcW w:w="19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10,619 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9,166 </w:t>
            </w:r>
          </w:p>
        </w:tc>
        <w:tc>
          <w:tcPr>
            <w:tcW w:w="188"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 of world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6,320 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long-lived assets</w:t>
            </w:r>
          </w:p>
        </w:tc>
        <w:tc>
          <w:tcPr>
            <w:tcW w:w="19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16,802 </w:t>
            </w:r>
          </w:p>
        </w:tc>
        <w:tc>
          <w:tcPr>
            <w:tcW w:w="109"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15,486 </w:t>
            </w:r>
          </w:p>
        </w:tc>
        <w:tc>
          <w:tcPr>
            <w:tcW w:w="188"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13. Restructuring charges</w:t>
      </w:r>
    </w:p>
    <w:p>
      <w:pPr>
        <w:pStyle w:val="TextBody"/>
        <w:bidi w:val="0"/>
        <w:spacing w:lineRule="auto" w:line="288" w:before="120" w:after="283"/>
        <w:jc w:val="left"/>
        <w:rPr/>
      </w:pPr>
      <w:r>
        <w:rPr>
          <w:rFonts w:ascii="Arial;sans-serif" w:hAnsi="Arial;sans-serif"/>
          <w:b/>
          <w:i/>
          <w:color w:val="000000"/>
          <w:sz w:val="20"/>
          <w:shd w:fill="FFFFFF" w:val="clear"/>
        </w:rPr>
        <w:t xml:space="preserve">2024 Restructuring— </w:t>
      </w:r>
      <w:r>
        <w:rPr>
          <w:rFonts w:ascii="Arial;sans-serif" w:hAnsi="Arial;sans-serif"/>
          <w:b w:val="false"/>
          <w:color w:val="000000"/>
          <w:sz w:val="20"/>
          <w:shd w:fill="FFFFFF" w:val="clear"/>
        </w:rPr>
        <w:t>On September 11, 2024, the Company committed to a restructuring plan aimed at driving greater operational efficiencies through the reduction of organizational layers, optimization of the Company’s go-to-market organization, and relocating certain roles to lower cost locations (collectively, the “2024 Restructuring”). The 2024 Restructuring impacted approximately 280 of the Company’s global workforce, primarily those located in higher-cost regions, such as the United States, as well as those within the Company’s sales and marketing and research and development functions. Of those impacted, approximately 57% had no future substantive service requirement as of the communication date, while the remaining population provided services as employees during retention periods to assist with transition and training that were substantially completed by March 31, 2025.</w:t>
      </w:r>
    </w:p>
    <w:p>
      <w:pPr>
        <w:pStyle w:val="TextBody"/>
        <w:bidi w:val="0"/>
        <w:spacing w:lineRule="auto" w:line="288" w:before="120" w:after="283"/>
        <w:jc w:val="left"/>
        <w:rPr/>
      </w:pPr>
      <w:r>
        <w:rPr>
          <w:rFonts w:ascii="Arial;sans-serif" w:hAnsi="Arial;sans-serif"/>
          <w:b w:val="false"/>
          <w:color w:val="000000"/>
          <w:sz w:val="20"/>
          <w:shd w:fill="FFFFFF" w:val="clear"/>
        </w:rPr>
        <w:t>As a resul</w:t>
      </w:r>
      <w:r>
        <w:rPr>
          <w:rFonts w:ascii="Arial;sans-serif" w:hAnsi="Arial;sans-serif"/>
          <w:b w:val="false"/>
          <w:color w:val="000000"/>
          <w:sz w:val="20"/>
        </w:rPr>
        <w:t>t, the Company expects to recognize total restructuring charges of approximately $18.4 million. Of this total, $1.5 million w</w:t>
      </w:r>
      <w:r>
        <w:rPr>
          <w:rFonts w:ascii="Arial;sans-serif" w:hAnsi="Arial;sans-serif"/>
          <w:b w:val="false"/>
          <w:color w:val="000000"/>
          <w:sz w:val="20"/>
          <w:shd w:fill="FFFFFF" w:val="clear"/>
        </w:rPr>
        <w:t xml:space="preserve">as recognized into expense during the </w:t>
      </w:r>
      <w:r>
        <w:rPr>
          <w:rFonts w:ascii="Arial;sans-serif" w:hAnsi="Arial;sans-serif"/>
          <w:b w:val="false"/>
          <w:color w:val="000000"/>
          <w:sz w:val="20"/>
        </w:rPr>
        <w:t>three months ended March 31, 2025, and $18.2 million</w:t>
      </w:r>
      <w:r>
        <w:rPr>
          <w:color w:val="000000"/>
        </w:rPr>
        <w:t xml:space="preserve"> </w:t>
      </w:r>
      <w:r>
        <w:rPr>
          <w:rFonts w:ascii="Arial;sans-serif" w:hAnsi="Arial;sans-serif"/>
          <w:b w:val="false"/>
          <w:color w:val="000000"/>
          <w:sz w:val="20"/>
        </w:rPr>
        <w:t>has been recognized into expense since the Company committed to the plan. The majority of the charges recognized were personnel-related costs, consisting of one-time severance payments, salary and wages earned over required retention periods, and other benefits</w:t>
      </w:r>
      <w:r>
        <w:rPr>
          <w:rFonts w:ascii="Arial;sans-serif" w:hAnsi="Arial;sans-serif"/>
          <w:b w:val="false"/>
          <w:color w:val="000000"/>
          <w:sz w:val="20"/>
          <w:shd w:fill="FFFFFF" w:val="clear"/>
        </w:rPr>
        <w:t>.</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For impacted employees with no future substantive service requirement, restructuring costs were recognized in-full as of the communication date. For employees rendering services through a retention period, one-time severance costs settled at the end of the retention period are recognized as restructuring costs on a straight-line basis from the communication date to the end of the required retention period. Other direct and incremental costs are recognized as incurred.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Restructuring charges are presented as separate operating expenses within the Company’s condensed consolidated statements of operations. The following table summarizes the activity related to the restructuring liability recorded in accrued compensation and benefits in the accompanying condensed consolidated balance sheets (in thousands):</w:t>
      </w:r>
    </w:p>
    <w:p>
      <w:pPr>
        <w:pStyle w:val="TextBody"/>
        <w:bidi w:val="0"/>
        <w:spacing w:before="0" w:after="0"/>
        <w:jc w:val="left"/>
        <w:rPr/>
      </w:pPr>
      <w:r>
        <w:rPr/>
      </w:r>
    </w:p>
    <w:tbl>
      <w:tblPr>
        <w:tblW w:w="4349" w:type="dxa"/>
        <w:jc w:val="left"/>
        <w:tblInd w:w="0" w:type="dxa"/>
        <w:tblLayout w:type="fixed"/>
        <w:tblCellMar>
          <w:top w:w="28" w:type="dxa"/>
          <w:left w:w="28" w:type="dxa"/>
          <w:bottom w:w="28" w:type="dxa"/>
          <w:right w:w="28" w:type="dxa"/>
        </w:tblCellMar>
      </w:tblPr>
      <w:tblGrid>
        <w:gridCol w:w="635"/>
        <w:gridCol w:w="558"/>
        <w:gridCol w:w="561"/>
        <w:gridCol w:w="561"/>
        <w:gridCol w:w="1593"/>
        <w:gridCol w:w="441"/>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7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Beginning balance</w:t>
            </w:r>
          </w:p>
        </w:tc>
        <w:tc>
          <w:tcPr>
            <w:tcW w:w="5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6,489 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w:t>
            </w:r>
          </w:p>
        </w:tc>
        <w:tc>
          <w:tcPr>
            <w:tcW w:w="2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Settlements</w:t>
            </w:r>
          </w:p>
        </w:tc>
        <w:tc>
          <w:tcPr>
            <w:tcW w:w="21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(5,250)</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Ending balance</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2,708 </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200" w:after="283"/>
        <w:jc w:val="left"/>
        <w:rPr>
          <w:rFonts w:ascii="Arial;sans-serif" w:hAnsi="Arial;sans-serif"/>
          <w:b/>
          <w:color w:val="000000"/>
          <w:sz w:val="24"/>
        </w:rPr>
      </w:pPr>
      <w:r>
        <w:rPr>
          <w:rFonts w:ascii="Arial;sans-serif" w:hAnsi="Arial;sans-serif"/>
          <w:b/>
          <w:color w:val="000000"/>
          <w:sz w:val="24"/>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You should read the following discussion and analysis of our financial condition and results of operations together with our condensed consolidated financial statements and related notes included elsewhere in this Form 10-Q.</w:t>
      </w:r>
      <w:r>
        <w:rPr>
          <w:color w:val="000000"/>
        </w:rPr>
        <w:t xml:space="preserve"> </w:t>
      </w:r>
      <w:r>
        <w:rPr>
          <w:rFonts w:ascii="Arial;sans-serif" w:hAnsi="Arial;sans-serif"/>
          <w:b w:val="false"/>
          <w:i/>
          <w:color w:val="000000"/>
          <w:sz w:val="20"/>
        </w:rPr>
        <w:t xml:space="preserve">In </w:t>
      </w:r>
      <w:r>
        <w:rPr>
          <w:rFonts w:ascii="Arial;sans-serif" w:hAnsi="Arial;sans-serif"/>
          <w:b w:val="false"/>
          <w:i/>
          <w:color w:val="000000"/>
          <w:sz w:val="20"/>
          <w:shd w:fill="FFFFFF" w:val="clear"/>
        </w:rPr>
        <w:t>addition to historical condensed consolidated financial information, the following discussion contains forward-looking statements that</w:t>
      </w:r>
      <w:r>
        <w:rPr>
          <w:color w:val="000000"/>
        </w:rPr>
        <w:t xml:space="preserve"> </w:t>
      </w:r>
      <w:r>
        <w:rPr>
          <w:rFonts w:ascii="Arial;sans-serif" w:hAnsi="Arial;sans-serif"/>
          <w:b w:val="false"/>
          <w:i/>
          <w:color w:val="000000"/>
          <w:sz w:val="20"/>
        </w:rPr>
        <w:t>reflect our plans, estimates, and beliefs. Our actual results could differ materially from those discussed in the forward-looking statements. You should review the sections titled “Special Note Regarding Forward-Looking Statements” for a discussion of forward-looking statements and in Part II, Item 1A, “Risk Factors” for a discussion of factors that could cause actual results to differ materially from the results described in or implied by the forward-looking statements contained in the following discussion and analysis and elsewhere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mission is to transform lives through learning.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believe traditional skills development and validation methods are fast becoming outdated. Technological advancements and novel industries have significantly altered the types of skills required of workers, and lifelong training and continuous skills acquisition are becoming the norm. There is a clear need to expand access to learning across traditional barriers such as geography and social demographics. Our online platform empowers organizations and individuals with flexible and effective skill acquisition and development, connecting global learners with relevant and up-to-date knowledge from experts and practitioners around the world.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Udemy’s consumer marketplace has attracted 79 million learners in over 180 countries who are looking for the knowledge and skills they need to attain in-demand jobs, further their career, and improve their well-being. We curate the highest-quality content from our marketplace for Udemy’s enterprise SaaS platform, Udemy Business (UB), which enables companies around the world to offer effective on-demand learning for employees, immersive laboratory-style learning for tech teams, and cohort-based learning focused on leadership development. Our network of 85,000 instructors have created over 250,000 courses in 75 languages that cover a wide range of topics, including technology, business, soft skills, and personal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Recent Developments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Effective March 12, 2025, our board of directors appointed Hugo Sarrazin to succeed Greg Brown as the Company’s president and chief executive officer. As of the same date, the Board appointed Mr. Sarrazin to serve as a Class III director, with a term expiring at our 2027 annual meeting of stockholders. For more information, see Note 1 – Organization and description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Key factors impacting our performance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believe that the growth of our business and our future success are dependent upon many factors. While each of these factors presents significant opportunities for us, these factors also pose challenges that we must successfully address in order to sustain the growth of our business and enhance our results of operations.</w:t>
      </w:r>
    </w:p>
    <w:p>
      <w:pPr>
        <w:pStyle w:val="TextBody"/>
        <w:bidi w:val="0"/>
        <w:spacing w:lineRule="auto" w:line="288" w:before="180" w:after="283"/>
        <w:jc w:val="left"/>
        <w:rPr>
          <w:rFonts w:ascii="Arial;sans-serif" w:hAnsi="Arial;sans-serif"/>
          <w:b/>
          <w:i/>
          <w:color w:val="000000"/>
          <w:sz w:val="20"/>
          <w:shd w:fill="FFFFFF" w:val="clear"/>
        </w:rPr>
      </w:pPr>
      <w:r>
        <w:rPr>
          <w:rFonts w:ascii="Arial;sans-serif" w:hAnsi="Arial;sans-serif"/>
          <w:b/>
          <w:i/>
          <w:color w:val="000000"/>
          <w:sz w:val="20"/>
          <w:shd w:fill="FFFFFF" w:val="clear"/>
        </w:rPr>
        <w:t>Ability to attract and engage new learners and Udemy Business customers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To grow our business, we must attract new learners and UB customers efficiently and increase engagement on our platform over time. We acquire a substantial portion of our learners via organic channels and also use paid marketing to further enhance the growth of our learner base. Our organic channels include those outside of our paid marketing efforts, such as a Udemy brand name internet search. Once we bring new learners onto our platform, we work to create a best-in-class experience to encourage engagement and drive learning and career outcomes.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80" w:after="283"/>
        <w:jc w:val="left"/>
        <w:rPr>
          <w:rFonts w:ascii="Arial;sans-serif" w:hAnsi="Arial;sans-serif"/>
          <w:b/>
          <w:i/>
          <w:color w:val="000000"/>
          <w:sz w:val="20"/>
          <w:shd w:fill="FFFFFF" w:val="clear"/>
        </w:rPr>
      </w:pPr>
      <w:r>
        <w:rPr>
          <w:rFonts w:ascii="Arial;sans-serif" w:hAnsi="Arial;sans-serif"/>
          <w:b/>
          <w:i/>
          <w:color w:val="000000"/>
          <w:sz w:val="20"/>
          <w:shd w:fill="FFFFFF" w:val="clear"/>
        </w:rPr>
        <w:t>Ability to retain and expand our existing learner and customer relationships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business and results of operations will depend on our ability to continue to drive higher usage of our platform within our existing customer base and our ability to add new customers.</w:t>
      </w:r>
    </w:p>
    <w:p>
      <w:pPr>
        <w:pStyle w:val="TextBody"/>
        <w:bidi w:val="0"/>
        <w:spacing w:lineRule="auto" w:line="288" w:before="120" w:after="283"/>
        <w:jc w:val="left"/>
        <w:rPr/>
      </w:pPr>
      <w:r>
        <w:rPr>
          <w:rFonts w:ascii="Arial;sans-serif" w:hAnsi="Arial;sans-serif"/>
          <w:b w:val="false"/>
          <w:color w:val="000000"/>
          <w:sz w:val="20"/>
          <w:shd w:fill="FFFFFF" w:val="clear"/>
        </w:rPr>
        <w:t xml:space="preserve">Our efforts to grow our UB offering are focused primarily on corporate and government customers. Historically, we have expanded from individual to department to multi-department to enterprise-wide sales as our value is proven. Building upon this success, we believe a significant opportunity exists for us to acquire new UB customers and expand our existing UB customers’ use of our platform by identifying new use cases and increasing the size of existing deployments. </w:t>
      </w:r>
      <w:r>
        <w:rPr>
          <w:rFonts w:ascii="Arial;sans-serif" w:hAnsi="Arial;sans-serif"/>
          <w:b w:val="false"/>
          <w:color w:val="000000"/>
          <w:sz w:val="20"/>
        </w:rPr>
        <w:t>In particular, we believe that our UB Large Customers, which we define as companies with at least 1,000 employees, present the most significant opportunities for us to retain and grow revenue over time, given the wider range of potential use cases and expansion opportunities.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often enter into customized contractual arrangements with our UB customers in which we offer more favorable pricing terms in exchange for larger total contract values that accompany larger deployments and longer terms. Over the long term, as we drive a greater portion of our revenue through our deployments with UB customers, we expect that our revenue will continue to grow, but the price we charge UB customers per seat may decline, which could reduce margins in the future.</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efforts to grow our existing relationships with our consumer learners are focused on increasing their engagement and converting free learners first into purchasers of individual courses, and then into subscribers. New learners to our platform may first engage with our free courses, which serve as a funnel to grow our total learner base and drive purchases and referrals to our paid offerings.</w:t>
      </w:r>
    </w:p>
    <w:p>
      <w:pPr>
        <w:pStyle w:val="TextBody"/>
        <w:bidi w:val="0"/>
        <w:spacing w:lineRule="auto" w:line="288" w:before="180" w:after="283"/>
        <w:jc w:val="left"/>
        <w:rPr>
          <w:rFonts w:ascii="Arial;sans-serif" w:hAnsi="Arial;sans-serif"/>
          <w:b/>
          <w:i/>
          <w:color w:val="000000"/>
          <w:sz w:val="20"/>
          <w:shd w:fill="FFFFFF" w:val="clear"/>
        </w:rPr>
      </w:pPr>
      <w:r>
        <w:rPr>
          <w:rFonts w:ascii="Arial;sans-serif" w:hAnsi="Arial;sans-serif"/>
          <w:b/>
          <w:i/>
          <w:color w:val="000000"/>
          <w:sz w:val="20"/>
          <w:shd w:fill="FFFFFF" w:val="clear"/>
        </w:rPr>
        <w:t>Ability to source in-demand content from our instructors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believe that learners and UB customers are attracted to Udemy largely because of the high quality and wide selection of content our instructors offer. Continuing to source in-demand content and credentials from our instructors will be an important factor in attracting learners and UB customers and growing our revenue over time. When we offer content as part of the UB and consumer subscription offerings, our instructors agree to distribute such content exclusively through our platform, which we believe demonstrates our ability to increase the value of our platform through unique content.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view the breadth and diverse expertise of our instructor base and the content they create as one of our competitive advantages. Our ability to expand the instructor payment pool over time while optimizing the revenue share structure is a key element of supporting the long-term growth of our business. Furthermore, a significant portion of the most popular content on our platform, and as a result a significant portion of our revenue, is attributable to a limited number of our instructors. We experienced minimal turnover among top instructors during the three months ended March 31, 2025.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Impact of mix of Enterprise and Consumer segments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mix of revenue continues to shift toward our higher-margin Enterprise segment from our Consumer segment. Our Enterprise segment’s higher gross margins are primarily driven by comparably lower content costs, though partially offset by higher customer support costs. The mix of customer acquisition methods in our Consumer segment will substantially impact our financial performance. We presently expect that revenue from our Enterprise segment will continue to grow faster than our Consumer segment, which will be beneficial to our overall margins.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Ability to expand our international footprint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currently generate a majority of our revenue outside North America. We see a significant opportunity to expand our offerings into regions with large underserved adult and corporate learning populations. We have invested, and plan to continue to invest, in personnel and marketing efforts to support our international growth and expand our international operations as part of our strategy to grow our customer and learner base, particularly among our UB customers. We also plan to continue investing in strategic partnerships that either extend our marketing reach or the capabilities and reach of our global go-to-market sales team. Our success in certain markets, such as Japan, depends on strategic partnerships with key resellers.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Our investment in growth</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We are actively investing in our business as we believe that we are only just beginning to penetrate our market opportunity. We are prioritizing resources for high-growth opportunities through expanding and deepening our opportunities with larger enterprise customers, further penetrating our existing customer base, and pursuing strategic partnerships and acquisitions. As we continue to build our sales and marketing efforts, expand our course catalog, develop our immersive learning capabilities, execute on our operational efficiency initiatives, and invest in our technology development, including investments in generative artificial intelligence, we anticipate our operating expenses will generally decrease as a percentage of revenue over time. Any investments we make to facilitate our future growth, whether organically or through acquisitions or strategic partnerships, will occur in advance of the benefits from such investments.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Pace of adoption of cloud-based skill development solutions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ability to grow our learner base and drive market adoption of our platform is affected by the overall demand for cloud-based skill development solutions. The market for cloud-based skill development is less mature than the market for in-person, instructor-led-training, and potential customers may be slow or unwilling to migrate from these legacy approaches. We believe that as technology becomes increasingly critical to business operations, the need for cloud-based skill development solutions, particularly an integrated enterprise-grade platform such as ours, will increase, and our customer base and the breadth and deployment of usage in our customer base will also increase. However, it is difficult to predict customer adoption rates and demand, the future growth rate and size of the market for cloud-based skill development solutions, or the entry of competitive solutions.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Components of results of operations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recognize revenue from contracts with UB customers and paid consumer learners by delivering access to our online learning platform.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Enterprise revenue primarily relates to enterprise license subscription contracts with annual or multi-year subscription terms. Enterprise license subscriptions include Team Plan, Enterprise Plan, Udemy Business Pro, and Leadership Academy. Enterprise subscriptions are typically billed in advance on a quarterly or annual basis. Subscription revenue excludes any taxes to be remitted to governmental authorities. Access to the Udemy platform represents a series of distinct services as we continually provide access to course content and fulfill our obligation to the UB customer over the subscription term. Because the series of distinct services represents a single performance obligation that is satisfied over time, we recognize revenue ratably over the contractual subscription term. Enterprise revenue recognized from professional services, in which Udemy provides customers with effective support and strategic guidance to enable learners and align with business goals, was immaterial for the periods presented.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Consumer revenue consists of individual course content purchases made by individual learners, as well as our consumer subscription offerings. Consumer revenue includes the gross transaction value paid by the learner at checkout, net of (a) actual and estimated refunds and (b) passthrough taxes collected from learners and remitted to governmental authorities. After a successful checkout, consumer learners receive a non-exclusive license to the digital course content in addition to stand-ready access to the Udemy platform hosting services needed to access the content. Access to the online content on the Udemy platform represents a series of distinct services as we continually provide access to and fulfill our hosting obligation to the learner. This series of distinct services represents a single performance obligation that is satisfied over time. Revenue from single course purchases is recognized ratably over the estimated service period, which is four months from the date of enrollment, while revenue from consumer subscriptions is recognized ratably over the contractual subscription term.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the principal with respect to revenue generated from sales to UB and consumer customers as we control the performance obligation and are the primary obligor with respect to delivering our customers access to the course content.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Cost of 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Cost of revenue primarily consists of content costs, which are the payments to our instructors. Content costs are driven by the means by which we acquired the learner consuming the content. For courses offered on Udemy’s consumer marketplace, instructors earn a specific percentage of the net sale amount when a learner purchases the instructor’s course. For courses offered through Udemy Business or a consumer subscription offering, instructors earn a pro-rata share of a monthly instructor payments pool for that subscription offering. Each month, Udemy calculates the revenue for each subscription offering, with a fixed percentage allocated as an instructor payments pool. Instructors whose content is included in the collection earn a prorated portion of this pool based on the number of minutes of consumption their courses achieved that month.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Content costs are recorded as cost of revenue in the period earned by our instructors. Content costs as a percentage of revenue for our UB and consumer subscription offerings are lower relative to individual course content purchases in our consumer offering. As a result, shifts in the mix between offerings and changes to the revenue share structure for UB and consumer subscriptions are expected to be a significant driver of future changes in gross margin. We are reducing the instructor revenue share for our subscription offerings, which are derived as a percentage of total UB and consumer subscription revenue, from a historical rate of 25% to 15% by 2026. The first rate adjustment to 20% was effective on January 1, 2024, and the second rate adjustment to 17.5% was effective as of January 1, 2025.</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consumer single course purchases, content costs are incurred at the time of purchase. As consumer course content revenue is recognized ratably over an estimated service period of four months, consumer gross margins are lower in the period of purchase, and higher in the remaining periods of the estimated service period over which revenue is recognized. For our UB and consumer subscription offerings, content costs are incurred based on monthly subscription fees, and margins are more stable from period to period.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Cost of revenue also includes payment and mobile processing fees, costs associated with hosting digital content, employee related expenses for our customer support organization, including salaries, benefits, stock-based compensation, facilities and other expenses, depreciation of network equipment, amortization of capitalized software, amortization of vendor relationship and developed technology intangible assets acquired through business combinations, and the portion of fees paid to certain reseller partners attributable to their providing customer support services to UB customers. We expect cost of revenue as a percentage of revenue to generally decrease, as we increase the percentage of revenue derived from our UB offering and decrease the instructor revenue share percentage.</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Operating expenses consist of sales and marketing, research and development, general and administrative expenses, and restructuring charges. Personnel costs are the most significant component of our operating expenses and consist of salaries, benefits, bonuses, stock-based compensation, and commissions. Our operating expenses also include allocated costs of facilities, information technology, depreciation, and amortization. We are focused on investing in initiatives which will drive operational efficiency while focusing resources on high-growth opportunities, and as a result we anticipate our operating expenses will generally decrease as a percentage of revenue over time.</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Sales and marketing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sales and marketing expenses consist primarily of personnel-related costs, including stock-based compensation, marketing costs, sponsorship and brand costs, costs related to customer and instructor acquisition, amortization of deferred contract costs, and amortization of trade name and customer relationship intangible assets acquired through business combinations. Sales and marketing expenses also consist of costs incurred for hosting and customer support services related to providing our platform to free learners. While sales and marketing expenses as a percentage of revenue may vary from period to period, in part due to the extent and timing of sales and marketing initiatives, we generally expect this percentage to decrease over the long term given our focus on sales efficiency and our expansion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Research and development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research and development expenses consist primarily of personnel-related costs, including stock-based compensation, and costs related to the ongoing management, maintenance, and expansion of features and services offered on our platform. Research and development costs also include contracted services, supplies, and other miscellaneous expenses. We believe that continued investment in our platform is important to our future growth and to maintain and attract learners and UB customers to our platform. While research and development expenses as a percentage of revenue may vary from period to period, in part due to the timing of investments in our platform, we generally expect this percentage to decrease over the long term given our focus on operational efficiency and high-growth opportunities.</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General and administrative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general and administrative expenses consist primarily of personnel-related costs, including stock-based compensation, costs related to our executive, legal, finance, and human resources departments, as well as charges for indirect tax reserves, allowance for credit losses, professional fees, and other corporate expenses. We expect general and administrative expenses as a percentage of revenue to vary from period to period but generally decrease over the long term as we benefit from greater operational scale and efficiency.</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Restructuring charges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restructuring charges consist primarily of personnel expenses, such as employee severance, benefits costs, and stock-based compensation, as well as other direct and incremental costs incurred as a result of non-recurring restructuring activities that we committed to during the third quarter of 2024.</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Interest income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Interest income consists primarily of interest income earned on our cash equivalents and short-term investments, including amortization of premiums and accretion of discounts related to our available-for-sale marketable securities, net of associated fees.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Interest expense consists primarily of interest expense related to certain indirect tax reserves.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Other income (expense), net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Other expense, net consists of foreign currency transaction gains and losses, as well as changes in the valuation of strategic investments, if any.</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Income tax provision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income tax provision consists primarily of income taxes in certain foreign jurisdictions in which we conduct business. We have a full valuation allowance against our U.S. federal and state deferred tax assets as the realization of the full amount of these deferred tax assets is uncertain, including net operating loss carryforwards and tax credits related primarily to research and development. The valuation allowance is driven by our historical overall loss position, and we will not be able to utilize any of these favorable tax attributes until we are consistently in a taxable income position. When we begin to consistently operate in a taxable income position, we may release portions of the valuation allowance to recognize and use those tax attributes. Until then, we expect to maintain this full valuation allowance until it becomes more likely than not that the deferred tax assets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our results of operations for the periods presented. The results below are not necessarily indicative of results to be expected for future periods. Results are as follows (in thousands, except share and per share amounts):</w:t>
      </w:r>
    </w:p>
    <w:tbl>
      <w:tblPr>
        <w:tblW w:w="4811" w:type="dxa"/>
        <w:jc w:val="left"/>
        <w:tblInd w:w="0" w:type="dxa"/>
        <w:tblLayout w:type="fixed"/>
        <w:tblCellMar>
          <w:top w:w="28" w:type="dxa"/>
          <w:left w:w="28" w:type="dxa"/>
          <w:bottom w:w="28" w:type="dxa"/>
          <w:right w:w="28" w:type="dxa"/>
        </w:tblCellMar>
      </w:tblPr>
      <w:tblGrid>
        <w:gridCol w:w="804"/>
        <w:gridCol w:w="704"/>
        <w:gridCol w:w="711"/>
        <w:gridCol w:w="207"/>
        <w:gridCol w:w="778"/>
        <w:gridCol w:w="115"/>
        <w:gridCol w:w="115"/>
        <w:gridCol w:w="115"/>
        <w:gridCol w:w="115"/>
        <w:gridCol w:w="207"/>
        <w:gridCol w:w="778"/>
        <w:gridCol w:w="162"/>
      </w:tblGrid>
      <w:tr>
        <w:trPr/>
        <w:tc>
          <w:tcPr>
            <w:tcW w:w="8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2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200,300 </w:t>
            </w:r>
          </w:p>
        </w:tc>
        <w:tc>
          <w:tcPr>
            <w:tcW w:w="1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196,846 </w:t>
            </w:r>
          </w:p>
        </w:tc>
        <w:tc>
          <w:tcPr>
            <w:tcW w:w="16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 (1)(2)</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98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129,443 </w:t>
            </w:r>
          </w:p>
        </w:tc>
        <w:tc>
          <w:tcPr>
            <w:tcW w:w="1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120,564 </w:t>
            </w:r>
          </w:p>
        </w:tc>
        <w:tc>
          <w:tcPr>
            <w:tcW w:w="16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 (1)(2)</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82,500 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87,301 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25,008 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24,769 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98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133,935 </w:t>
            </w:r>
          </w:p>
        </w:tc>
        <w:tc>
          <w:tcPr>
            <w:tcW w:w="1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143,293 </w:t>
            </w:r>
          </w:p>
        </w:tc>
        <w:tc>
          <w:tcPr>
            <w:tcW w:w="16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from operations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(4,492)</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(22,729)</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net</w:t>
            </w:r>
          </w:p>
        </w:tc>
        <w:tc>
          <w:tcPr>
            <w:tcW w:w="110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net</w:t>
            </w:r>
          </w:p>
        </w:tc>
        <w:tc>
          <w:tcPr>
            <w:tcW w:w="98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3,658 </w:t>
            </w:r>
          </w:p>
        </w:tc>
        <w:tc>
          <w:tcPr>
            <w:tcW w:w="1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5,417 </w:t>
            </w:r>
          </w:p>
        </w:tc>
        <w:tc>
          <w:tcPr>
            <w:tcW w:w="16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before taxes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(17,312)</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(1,771)</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(18,339)</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sans-serif" w:hAnsi="Arial;sans-serif"/>
          <w:b w:val="false"/>
          <w:color w:val="000000"/>
          <w:sz w:val="20"/>
        </w:rPr>
        <w:t>(1)</w:t>
      </w:r>
      <w:r>
        <w:rPr>
          <w:rFonts w:ascii="Arial;sans-serif" w:hAnsi="Arial;sans-serif"/>
          <w:b w:val="false"/>
          <w:color w:val="000000"/>
          <w:sz w:val="20"/>
        </w:rPr>
        <w:t>Includes stock-based compensation expense as follows (in thousands):</w:t>
      </w:r>
    </w:p>
    <w:tbl>
      <w:tblPr>
        <w:tblW w:w="5771" w:type="dxa"/>
        <w:jc w:val="left"/>
        <w:tblInd w:w="0" w:type="dxa"/>
        <w:tblLayout w:type="fixed"/>
        <w:tblCellMar>
          <w:top w:w="28" w:type="dxa"/>
          <w:left w:w="28" w:type="dxa"/>
          <w:bottom w:w="28" w:type="dxa"/>
          <w:right w:w="28" w:type="dxa"/>
        </w:tblCellMar>
      </w:tblPr>
      <w:tblGrid>
        <w:gridCol w:w="1151"/>
        <w:gridCol w:w="1011"/>
        <w:gridCol w:w="1018"/>
        <w:gridCol w:w="223"/>
        <w:gridCol w:w="737"/>
        <w:gridCol w:w="124"/>
        <w:gridCol w:w="124"/>
        <w:gridCol w:w="124"/>
        <w:gridCol w:w="124"/>
        <w:gridCol w:w="223"/>
        <w:gridCol w:w="737"/>
        <w:gridCol w:w="175"/>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1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2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1,572 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1,657 </w:t>
            </w:r>
          </w:p>
        </w:tc>
        <w:tc>
          <w:tcPr>
            <w:tcW w:w="1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9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4,708 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6,675 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stock-based compensation expense</w:t>
            </w:r>
          </w:p>
        </w:tc>
        <w:tc>
          <w:tcPr>
            <w:tcW w:w="22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17,967 </w:t>
            </w:r>
          </w:p>
        </w:tc>
        <w:tc>
          <w:tcPr>
            <w:tcW w:w="1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22,705 </w:t>
            </w:r>
          </w:p>
        </w:tc>
        <w:tc>
          <w:tcPr>
            <w:tcW w:w="17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(2)    Includes amortization of intangible assets as follows (in thousands):</w:t>
      </w:r>
    </w:p>
    <w:tbl>
      <w:tblPr>
        <w:tblW w:w="5443" w:type="dxa"/>
        <w:jc w:val="left"/>
        <w:tblInd w:w="0" w:type="dxa"/>
        <w:tblLayout w:type="fixed"/>
        <w:tblCellMar>
          <w:top w:w="28" w:type="dxa"/>
          <w:left w:w="28" w:type="dxa"/>
          <w:bottom w:w="28" w:type="dxa"/>
          <w:right w:w="28" w:type="dxa"/>
        </w:tblCellMar>
      </w:tblPr>
      <w:tblGrid>
        <w:gridCol w:w="1032"/>
        <w:gridCol w:w="905"/>
        <w:gridCol w:w="913"/>
        <w:gridCol w:w="278"/>
        <w:gridCol w:w="599"/>
        <w:gridCol w:w="155"/>
        <w:gridCol w:w="155"/>
        <w:gridCol w:w="155"/>
        <w:gridCol w:w="155"/>
        <w:gridCol w:w="278"/>
        <w:gridCol w:w="599"/>
        <w:gridCol w:w="219"/>
      </w:tblGrid>
      <w:tr>
        <w:trPr/>
        <w:tc>
          <w:tcPr>
            <w:tcW w:w="103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85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278"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725 </w:t>
            </w:r>
          </w:p>
        </w:tc>
        <w:tc>
          <w:tcPr>
            <w:tcW w:w="21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amortization of intangible assets</w:t>
            </w:r>
          </w:p>
        </w:tc>
        <w:tc>
          <w:tcPr>
            <w:tcW w:w="27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15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955 </w:t>
            </w:r>
          </w:p>
        </w:tc>
        <w:tc>
          <w:tcPr>
            <w:tcW w:w="21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following table summarizes our results of operations as a percentage of revenue for each of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tbl>
      <w:tblPr>
        <w:tblW w:w="4812" w:type="dxa"/>
        <w:jc w:val="left"/>
        <w:tblInd w:w="0" w:type="dxa"/>
        <w:tblLayout w:type="fixed"/>
        <w:tblCellMar>
          <w:top w:w="28" w:type="dxa"/>
          <w:left w:w="28" w:type="dxa"/>
          <w:bottom w:w="28" w:type="dxa"/>
          <w:right w:w="28" w:type="dxa"/>
        </w:tblCellMar>
      </w:tblPr>
      <w:tblGrid>
        <w:gridCol w:w="805"/>
        <w:gridCol w:w="704"/>
        <w:gridCol w:w="711"/>
        <w:gridCol w:w="214"/>
        <w:gridCol w:w="214"/>
        <w:gridCol w:w="503"/>
        <w:gridCol w:w="214"/>
        <w:gridCol w:w="214"/>
        <w:gridCol w:w="214"/>
        <w:gridCol w:w="214"/>
        <w:gridCol w:w="214"/>
        <w:gridCol w:w="591"/>
      </w:tblGrid>
      <w:tr>
        <w:trPr/>
        <w:tc>
          <w:tcPr>
            <w:tcW w:w="80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42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5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5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42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50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5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Operating expenses </w:t>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4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5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4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5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w:t>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42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50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5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net</w:t>
            </w:r>
          </w:p>
        </w:tc>
        <w:tc>
          <w:tcPr>
            <w:tcW w:w="9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4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net</w:t>
            </w:r>
          </w:p>
        </w:tc>
        <w:tc>
          <w:tcPr>
            <w:tcW w:w="42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50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5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before taxes</w:t>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4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w:t>
            </w:r>
          </w:p>
        </w:tc>
        <w:tc>
          <w:tcPr>
            <w:tcW w:w="4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Comparison of the three months ended March 31, 2025 and 2024</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Revenue</w:t>
      </w:r>
    </w:p>
    <w:tbl>
      <w:tblPr>
        <w:tblW w:w="5566" w:type="dxa"/>
        <w:jc w:val="left"/>
        <w:tblInd w:w="0" w:type="dxa"/>
        <w:tblLayout w:type="fixed"/>
        <w:tblCellMar>
          <w:top w:w="28" w:type="dxa"/>
          <w:left w:w="28" w:type="dxa"/>
          <w:bottom w:w="28" w:type="dxa"/>
          <w:right w:w="28" w:type="dxa"/>
        </w:tblCellMar>
      </w:tblPr>
      <w:tblGrid>
        <w:gridCol w:w="406"/>
        <w:gridCol w:w="357"/>
        <w:gridCol w:w="362"/>
        <w:gridCol w:w="207"/>
        <w:gridCol w:w="779"/>
        <w:gridCol w:w="115"/>
        <w:gridCol w:w="115"/>
        <w:gridCol w:w="115"/>
        <w:gridCol w:w="115"/>
        <w:gridCol w:w="207"/>
        <w:gridCol w:w="779"/>
        <w:gridCol w:w="115"/>
        <w:gridCol w:w="109"/>
        <w:gridCol w:w="109"/>
        <w:gridCol w:w="109"/>
        <w:gridCol w:w="196"/>
        <w:gridCol w:w="646"/>
        <w:gridCol w:w="109"/>
        <w:gridCol w:w="156"/>
        <w:gridCol w:w="159"/>
        <w:gridCol w:w="301"/>
      </w:tblGrid>
      <w:tr>
        <w:trPr/>
        <w:tc>
          <w:tcPr>
            <w:tcW w:w="4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4441"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11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Enterprise</w:t>
            </w:r>
          </w:p>
        </w:tc>
        <w:tc>
          <w:tcPr>
            <w:tcW w:w="207"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127,748 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117,640 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w:t>
            </w:r>
          </w:p>
        </w:tc>
        <w:tc>
          <w:tcPr>
            <w:tcW w:w="9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72,552 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79,206 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20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200,300 </w:t>
            </w:r>
          </w:p>
        </w:tc>
        <w:tc>
          <w:tcPr>
            <w:tcW w:w="11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196,846 </w:t>
            </w:r>
          </w:p>
        </w:tc>
        <w:tc>
          <w:tcPr>
            <w:tcW w:w="11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Revenue for the three months ended March 31, 2025, was $200.3 million, compared to $196.8 million for the same period in the prior year, which represents an increase of $3.5 million, or 2%. The increase in revenue for the three months ended March 31, 2025 was primarily driven by an increase in revenue from our Enterprise segment while being partially offset by a decrease in revenue from our Consumer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three months ended March 31, 2025, Enterprise revenue was $127.7 million, or 64% of total revenue, compared to $117.6 million, or 60% of total revenue, for the same period in the prior year. The $10.1 million, or 9%, increase in Enterprise revenue was primarily driven by an increase in the number of UB customers, and was partially offset by lower net retention rates. Although churn marginally outpaced expansion across all existing customers, as reflected by our UB NDRR of 96% as of March 31, 2025, net retention among our UB Large Customers was higher, as reflected by our UB Large Customer NDRR of 100% as of March 31, 2025.</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three months ended March 31, 2025, Consumer revenue was $72.6 million, or 36% of total revenue, compared to $79.2 million, or 40% of total revenue, for the same period in the prior year. The $6.7 million, or 8%, decrease in Consumer revenue was primarily due to a decrease in revenue recognized from single course purchases. Monthly average buyers purchasing single courses, as well as the amount of revenue recognized in the current period that was deferred from course purchases in the prior period, each decreased across the comparative periods. Foreign currency exchange rates also contributed to the decrease. These factors were partially offset by an increase in revenue recognized from consumer subscriptions as we continued to expand the offering into new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Cost of revenue, gross profit and gross margin</w:t>
      </w:r>
    </w:p>
    <w:tbl>
      <w:tblPr>
        <w:tblW w:w="6410" w:type="dxa"/>
        <w:jc w:val="left"/>
        <w:tblInd w:w="0" w:type="dxa"/>
        <w:tblLayout w:type="fixed"/>
        <w:tblCellMar>
          <w:top w:w="28" w:type="dxa"/>
          <w:left w:w="28" w:type="dxa"/>
          <w:bottom w:w="28" w:type="dxa"/>
          <w:right w:w="28" w:type="dxa"/>
        </w:tblCellMar>
      </w:tblPr>
      <w:tblGrid>
        <w:gridCol w:w="500"/>
        <w:gridCol w:w="439"/>
        <w:gridCol w:w="441"/>
        <w:gridCol w:w="368"/>
        <w:gridCol w:w="368"/>
        <w:gridCol w:w="512"/>
        <w:gridCol w:w="218"/>
        <w:gridCol w:w="218"/>
        <w:gridCol w:w="218"/>
        <w:gridCol w:w="368"/>
        <w:gridCol w:w="368"/>
        <w:gridCol w:w="512"/>
        <w:gridCol w:w="109"/>
        <w:gridCol w:w="109"/>
        <w:gridCol w:w="109"/>
        <w:gridCol w:w="196"/>
        <w:gridCol w:w="631"/>
        <w:gridCol w:w="109"/>
        <w:gridCol w:w="158"/>
        <w:gridCol w:w="158"/>
        <w:gridCol w:w="301"/>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0"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1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Cost of revenue</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70,857 </w:t>
            </w:r>
          </w:p>
        </w:tc>
        <w:tc>
          <w:tcPr>
            <w:tcW w:w="5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76,282 </w:t>
            </w:r>
          </w:p>
        </w:tc>
        <w:tc>
          <w:tcPr>
            <w:tcW w:w="5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(5,425)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w:t>
            </w:r>
          </w:p>
        </w:tc>
        <w:tc>
          <w:tcPr>
            <w:tcW w:w="30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129,443 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120,564 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margin</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51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51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Cost of revenue for the three months ended March 31, 2025, was $70.9 million, compared to $76.3 million for the same period in the prior year. The decrease of $5.4 million, or 7%, across the comparative periods was driven by a $4.0 million decrease in content costs and a $0.7 million decrease in amortization of intangible assets.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Content costs for the Enterprise and Consumer segments were $20.4 million and $24.8 million for the three months ended March 31, 2025, respectively, compared to $21.2 million and $28.0 million for the same period in the prior year, respectively. Segment content costs as a percentage of segment revenue for the Enterprise and Consumer segments were 16% and 34% for the three months ended March 31, 2025, respectively, compared to 18% and 35% for the same period in the prior year, respectively. The reduction in content costs as a percentage of revenue was primarily driven by the reduction in instructor revenue share from 20% to 17.5% for all subscription offerings, which became effective on January 1, 2025.</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our Enterprise segment, customer support costs decreased by $0.6 million, as compared to the same period in the prior year. In our Consumer segment, customer support costs and other segment items were all consistent with those costs incurred the same period in the prior year.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Gross margin was 65% for the three months ended March 31, 2025, compared to 61% for the same period in the prior year. The increase in gross margin was primarily due to the reduction in instructor revenue share for all subscription offerings, the continued shift in mix of revenue toward our Enterprise segment and subscription offerings, and the decrease in customer support costs as a percentage of revenue.</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Operating expenses</w:t>
      </w:r>
    </w:p>
    <w:tbl>
      <w:tblPr>
        <w:tblW w:w="6646" w:type="dxa"/>
        <w:jc w:val="left"/>
        <w:tblInd w:w="0" w:type="dxa"/>
        <w:tblLayout w:type="fixed"/>
        <w:tblCellMar>
          <w:top w:w="28" w:type="dxa"/>
          <w:left w:w="28" w:type="dxa"/>
          <w:bottom w:w="28" w:type="dxa"/>
          <w:right w:w="28" w:type="dxa"/>
        </w:tblCellMar>
      </w:tblPr>
      <w:tblGrid>
        <w:gridCol w:w="772"/>
        <w:gridCol w:w="676"/>
        <w:gridCol w:w="681"/>
        <w:gridCol w:w="207"/>
        <w:gridCol w:w="779"/>
        <w:gridCol w:w="115"/>
        <w:gridCol w:w="115"/>
        <w:gridCol w:w="115"/>
        <w:gridCol w:w="115"/>
        <w:gridCol w:w="207"/>
        <w:gridCol w:w="779"/>
        <w:gridCol w:w="115"/>
        <w:gridCol w:w="109"/>
        <w:gridCol w:w="109"/>
        <w:gridCol w:w="109"/>
        <w:gridCol w:w="196"/>
        <w:gridCol w:w="631"/>
        <w:gridCol w:w="109"/>
        <w:gridCol w:w="203"/>
        <w:gridCol w:w="203"/>
        <w:gridCol w:w="301"/>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451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20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82,500 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87,301 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3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24,958 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31,223 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25,008 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24,769 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2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133,935 </w:t>
            </w:r>
          </w:p>
        </w:tc>
        <w:tc>
          <w:tcPr>
            <w:tcW w:w="1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143,293 </w:t>
            </w:r>
          </w:p>
        </w:tc>
        <w:tc>
          <w:tcPr>
            <w:tcW w:w="1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(9,358)</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3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n/m - not meaningful</w:t>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i/>
          <w:color w:val="000000"/>
          <w:sz w:val="20"/>
        </w:rPr>
        <w:t xml:space="preserve">Sales and marketing. </w:t>
      </w:r>
      <w:r>
        <w:rPr>
          <w:rFonts w:ascii="Arial;sans-serif" w:hAnsi="Arial;sans-serif"/>
          <w:b w:val="false"/>
          <w:color w:val="000000"/>
          <w:sz w:val="20"/>
        </w:rPr>
        <w:t>Sales and marketing expenses for the three months ended March 31, 2025 were $82.5 million, compared to $87.3 million for the same period in the prior year. The $4.8 million decrease in sales and marketing expense was primarily due to a $3.6 million decrease in direct marketing costs, a $2.0 million decrease in personnel-related expenses, and a $1.9 million decrease in stock-based compensation expense. These decreases were partially offset by a $1.6 million increase in amortization of deferred contract costs.</w:t>
      </w:r>
    </w:p>
    <w:p>
      <w:pPr>
        <w:pStyle w:val="TextBody"/>
        <w:bidi w:val="0"/>
        <w:spacing w:lineRule="auto" w:line="288" w:before="120" w:after="283"/>
        <w:jc w:val="left"/>
        <w:rPr/>
      </w:pPr>
      <w:r>
        <w:rPr>
          <w:rFonts w:ascii="Arial;sans-serif" w:hAnsi="Arial;sans-serif"/>
          <w:b w:val="false"/>
          <w:i/>
          <w:color w:val="000000"/>
          <w:sz w:val="20"/>
        </w:rPr>
        <w:t xml:space="preserve">Research and development. </w:t>
      </w:r>
      <w:r>
        <w:rPr>
          <w:rFonts w:ascii="Arial;sans-serif" w:hAnsi="Arial;sans-serif"/>
          <w:b w:val="false"/>
          <w:color w:val="000000"/>
          <w:sz w:val="20"/>
        </w:rPr>
        <w:t>Research and development expenses for the three months ended March 31, 2025 were $25.0 million, compared to $31.2 million for the same period in the prior year. The $6.3 million decrease was primarily due to a $3.9 million decrease in personnel-related expenses and a $2.0 million decrease in stock-based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68" w:before="120" w:after="283"/>
        <w:jc w:val="left"/>
        <w:rPr/>
      </w:pPr>
      <w:r>
        <w:rPr>
          <w:rFonts w:ascii="Arial;sans-serif" w:hAnsi="Arial;sans-serif"/>
          <w:b w:val="false"/>
          <w:i/>
          <w:color w:val="000000"/>
          <w:sz w:val="20"/>
        </w:rPr>
        <w:t xml:space="preserve">General and administrative. </w:t>
      </w:r>
      <w:r>
        <w:rPr>
          <w:rFonts w:ascii="Arial;sans-serif" w:hAnsi="Arial;sans-serif"/>
          <w:b w:val="false"/>
          <w:color w:val="000000"/>
          <w:sz w:val="20"/>
        </w:rPr>
        <w:t>General and administrative expenses for the three months ended March 31, 2025 were $25.0 million, compared to $24.8 million for the same period in the prior year. The $0.2 million increase was primarily due to a $1.4 million increase in current period charges to the credit losses reserve. This was partially offset by a $0.8 million decrease in stock-based compensation expense and a $0.3 million decrease in personnel-related expenses.</w:t>
      </w:r>
    </w:p>
    <w:p>
      <w:pPr>
        <w:pStyle w:val="TextBody"/>
        <w:bidi w:val="0"/>
        <w:spacing w:lineRule="auto" w:line="288" w:before="120" w:after="283"/>
        <w:jc w:val="left"/>
        <w:rPr/>
      </w:pPr>
      <w:r>
        <w:rPr>
          <w:rFonts w:ascii="Arial;sans-serif" w:hAnsi="Arial;sans-serif"/>
          <w:b w:val="false"/>
          <w:i/>
          <w:color w:val="000000"/>
          <w:sz w:val="20"/>
        </w:rPr>
        <w:t>Restructuring charges</w:t>
      </w:r>
      <w:r>
        <w:rPr>
          <w:rFonts w:ascii="Arial;sans-serif" w:hAnsi="Arial;sans-serif"/>
          <w:b/>
          <w:i/>
          <w:color w:val="000000"/>
          <w:sz w:val="20"/>
        </w:rPr>
        <w:t xml:space="preserve">. </w:t>
      </w:r>
      <w:r>
        <w:rPr>
          <w:rFonts w:ascii="Arial;sans-serif" w:hAnsi="Arial;sans-serif"/>
          <w:b w:val="false"/>
          <w:color w:val="000000"/>
          <w:sz w:val="20"/>
          <w:shd w:fill="FFFFFF" w:val="clear"/>
        </w:rPr>
        <w:t xml:space="preserve">As a result of the strategic restructuring activities announced in September 2024, we recognized </w:t>
      </w:r>
      <w:r>
        <w:rPr>
          <w:rFonts w:ascii="Arial;sans-serif" w:hAnsi="Arial;sans-serif"/>
          <w:b w:val="false"/>
          <w:color w:val="000000"/>
          <w:sz w:val="20"/>
        </w:rPr>
        <w:t>$1.5 million</w:t>
      </w:r>
      <w:r>
        <w:rPr>
          <w:color w:val="000000"/>
          <w:shd w:fill="FFFFFF" w:val="clear"/>
        </w:rPr>
        <w:t xml:space="preserve"> </w:t>
      </w:r>
      <w:r>
        <w:rPr>
          <w:rFonts w:ascii="Arial;sans-serif" w:hAnsi="Arial;sans-serif"/>
          <w:b w:val="false"/>
          <w:color w:val="000000"/>
          <w:sz w:val="20"/>
          <w:shd w:fill="FFFFFF" w:val="clear"/>
        </w:rPr>
        <w:t xml:space="preserve">of restructuring charges during the </w:t>
      </w:r>
      <w:r>
        <w:rPr>
          <w:rFonts w:ascii="Arial;sans-serif" w:hAnsi="Arial;sans-serif"/>
          <w:b w:val="false"/>
          <w:color w:val="000000"/>
          <w:sz w:val="20"/>
        </w:rPr>
        <w:t>three months ended March 31, 2025</w:t>
      </w:r>
      <w:r>
        <w:rPr>
          <w:rFonts w:ascii="Arial;sans-serif" w:hAnsi="Arial;sans-serif"/>
          <w:b w:val="false"/>
          <w:color w:val="000000"/>
          <w:sz w:val="20"/>
          <w:shd w:fill="FFFFFF" w:val="clear"/>
        </w:rPr>
        <w:t>.</w:t>
      </w:r>
      <w:r>
        <w:rPr>
          <w:color w:val="000000"/>
        </w:rPr>
        <w:t xml:space="preserve"> </w:t>
      </w:r>
      <w:r>
        <w:rPr>
          <w:rFonts w:ascii="Arial;sans-serif" w:hAnsi="Arial;sans-serif"/>
          <w:b w:val="false"/>
          <w:color w:val="000000"/>
          <w:sz w:val="20"/>
        </w:rPr>
        <w:t>The majority of the charges recognized were made up of personnel-related costs, consisting of one-time severance payments, salary and wages earned over required retention periods, and other benefits</w:t>
      </w:r>
      <w:r>
        <w:rPr>
          <w:rFonts w:ascii="Arial;sans-serif" w:hAnsi="Arial;sans-serif"/>
          <w:b w:val="false"/>
          <w:color w:val="000000"/>
          <w:sz w:val="20"/>
          <w:shd w:fill="FFFFFF" w:val="clear"/>
        </w:rPr>
        <w:t>. There were no restructuring charges recorded during the three months ended March 31, 2024.</w:t>
      </w:r>
    </w:p>
    <w:p>
      <w:pPr>
        <w:pStyle w:val="TextBody"/>
        <w:bidi w:val="0"/>
        <w:spacing w:before="0" w:after="0"/>
        <w:jc w:val="left"/>
        <w:rPr/>
      </w:pPr>
      <w:r>
        <w:rPr/>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Total other income, net</w:t>
      </w:r>
    </w:p>
    <w:tbl>
      <w:tblPr>
        <w:tblW w:w="6826" w:type="dxa"/>
        <w:jc w:val="left"/>
        <w:tblInd w:w="0" w:type="dxa"/>
        <w:tblLayout w:type="fixed"/>
        <w:tblCellMar>
          <w:top w:w="28" w:type="dxa"/>
          <w:left w:w="28" w:type="dxa"/>
          <w:bottom w:w="28" w:type="dxa"/>
          <w:right w:w="28" w:type="dxa"/>
        </w:tblCellMar>
      </w:tblPr>
      <w:tblGrid>
        <w:gridCol w:w="803"/>
        <w:gridCol w:w="707"/>
        <w:gridCol w:w="710"/>
        <w:gridCol w:w="244"/>
        <w:gridCol w:w="692"/>
        <w:gridCol w:w="135"/>
        <w:gridCol w:w="135"/>
        <w:gridCol w:w="135"/>
        <w:gridCol w:w="135"/>
        <w:gridCol w:w="244"/>
        <w:gridCol w:w="692"/>
        <w:gridCol w:w="135"/>
        <w:gridCol w:w="109"/>
        <w:gridCol w:w="109"/>
        <w:gridCol w:w="109"/>
        <w:gridCol w:w="196"/>
        <w:gridCol w:w="631"/>
        <w:gridCol w:w="109"/>
        <w:gridCol w:w="246"/>
        <w:gridCol w:w="249"/>
        <w:gridCol w:w="301"/>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net</w:t>
            </w:r>
          </w:p>
        </w:tc>
        <w:tc>
          <w:tcPr>
            <w:tcW w:w="460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24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3,575 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5,728 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3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9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w:t>
            </w:r>
          </w:p>
        </w:tc>
        <w:tc>
          <w:tcPr>
            <w:tcW w:w="3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net</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3,658 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5,417 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recorded total other income, net of $3.7 million for the three months ended March 31, 2025, compared to $5.4 million for the same period in the prior year. The $1.8 million decrease in total other income, net was primarily driven by a $2.2 million decrease in interest and accretion income on our existing cash, cash equivalents, and marketable securities portfolio.</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Income tax provision</w:t>
      </w:r>
    </w:p>
    <w:tbl>
      <w:tblPr>
        <w:tblW w:w="5760" w:type="dxa"/>
        <w:jc w:val="left"/>
        <w:tblInd w:w="0" w:type="dxa"/>
        <w:tblLayout w:type="fixed"/>
        <w:tblCellMar>
          <w:top w:w="28" w:type="dxa"/>
          <w:left w:w="28" w:type="dxa"/>
          <w:bottom w:w="28" w:type="dxa"/>
          <w:right w:w="28" w:type="dxa"/>
        </w:tblCellMar>
      </w:tblPr>
      <w:tblGrid>
        <w:gridCol w:w="592"/>
        <w:gridCol w:w="519"/>
        <w:gridCol w:w="523"/>
        <w:gridCol w:w="242"/>
        <w:gridCol w:w="613"/>
        <w:gridCol w:w="134"/>
        <w:gridCol w:w="134"/>
        <w:gridCol w:w="134"/>
        <w:gridCol w:w="134"/>
        <w:gridCol w:w="242"/>
        <w:gridCol w:w="779"/>
        <w:gridCol w:w="134"/>
        <w:gridCol w:w="109"/>
        <w:gridCol w:w="109"/>
        <w:gridCol w:w="109"/>
        <w:gridCol w:w="196"/>
        <w:gridCol w:w="331"/>
        <w:gridCol w:w="109"/>
        <w:gridCol w:w="158"/>
        <w:gridCol w:w="158"/>
        <w:gridCol w:w="301"/>
      </w:tblGrid>
      <w:tr>
        <w:trPr/>
        <w:tc>
          <w:tcPr>
            <w:tcW w:w="5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1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2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3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For the three months ended March 31, 2025, we recognized income tax expense of $0.9 million, compared to $1.0 million for the same period in the prior year. Income tax expense for the three months ended March 31, 2025 and 2024, was primarily comprised of foreign and state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Certain key business metrics and non-GAAP financial metrics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addition to the measures presented in our condensed consolidated financial statements, we use the key business metrics and non-GAAP financial metrics identified below to help us assess the health of our community, evaluate our business, identify trends affecting our business, formulate business plans, and make strategic decisions.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Udemy Business customers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count the total number of UB customers at the end of each period. To do so, we generally count unique customers using the concept of a domestic ultimate parent, defined as the highest business in the family tree that is in the same country as the contracted entity. In some cases, we deviate from this methodology, defining the contracted entity as a unique customer despite the existence of a domestic ultimate parent. This often occurs where the domestic ultimate parent is a financial owner, government entity, conglomerate, or acquisition target where we have contracted directly with the subsidiary. We define a UB customer as a customer who purchases Udemy via our direct sales force, reseller partnerships or through our self-service platform. We believe that the number of UB customers and our ability to increase this number is an important indicator of the growth of our UB and future revenue trends. The increase in UB customers is primarily attributable to the continued pursuit of our global expansion strategy.</w:t>
      </w:r>
    </w:p>
    <w:p>
      <w:pPr>
        <w:pStyle w:val="TextBody"/>
        <w:bidi w:val="0"/>
        <w:spacing w:before="0" w:after="0"/>
        <w:jc w:val="left"/>
        <w:rPr/>
      </w:pPr>
      <w:r>
        <w:rPr/>
      </w:r>
    </w:p>
    <w:tbl>
      <w:tblPr>
        <w:tblW w:w="4836" w:type="dxa"/>
        <w:jc w:val="left"/>
        <w:tblInd w:w="0" w:type="dxa"/>
        <w:tblLayout w:type="fixed"/>
        <w:tblCellMar>
          <w:top w:w="28" w:type="dxa"/>
          <w:left w:w="28" w:type="dxa"/>
          <w:bottom w:w="28" w:type="dxa"/>
          <w:right w:w="28" w:type="dxa"/>
        </w:tblCellMar>
      </w:tblPr>
      <w:tblGrid>
        <w:gridCol w:w="792"/>
        <w:gridCol w:w="697"/>
        <w:gridCol w:w="700"/>
        <w:gridCol w:w="323"/>
        <w:gridCol w:w="323"/>
        <w:gridCol w:w="156"/>
        <w:gridCol w:w="109"/>
        <w:gridCol w:w="109"/>
        <w:gridCol w:w="109"/>
        <w:gridCol w:w="323"/>
        <w:gridCol w:w="323"/>
        <w:gridCol w:w="156"/>
        <w:gridCol w:w="109"/>
        <w:gridCol w:w="109"/>
        <w:gridCol w:w="109"/>
        <w:gridCol w:w="114"/>
        <w:gridCol w:w="114"/>
        <w:gridCol w:w="161"/>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w:t>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Udemy Business customers</w:t>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17,216 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16,070 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r>
    </w:tbl>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Udemy Business Annual Recurring 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disclose our UB Annual Recurring Revenue (“ARR”) as a measure of our Enterprise revenue growth. ARR represents the annualized value of our UB customer contracts on the last day of a given period. Only revenue from closed UB contracts with active seats as of the last day of the period are included. The increase in UB ARR was primarily driven by an increase in the number of UB customers, and was partially offset by churn marginally outpacing expansion across all existing customers, although net retention among our UB Large Customers was higher.</w:t>
      </w:r>
    </w:p>
    <w:p>
      <w:pPr>
        <w:pStyle w:val="TextBody"/>
        <w:bidi w:val="0"/>
        <w:spacing w:before="0" w:after="0"/>
        <w:jc w:val="left"/>
        <w:rPr/>
      </w:pPr>
      <w:r>
        <w:rPr/>
      </w:r>
    </w:p>
    <w:tbl>
      <w:tblPr>
        <w:tblW w:w="6365" w:type="dxa"/>
        <w:jc w:val="left"/>
        <w:tblInd w:w="0" w:type="dxa"/>
        <w:tblLayout w:type="fixed"/>
        <w:tblCellMar>
          <w:top w:w="28" w:type="dxa"/>
          <w:left w:w="28" w:type="dxa"/>
          <w:bottom w:w="28" w:type="dxa"/>
          <w:right w:w="28" w:type="dxa"/>
        </w:tblCellMar>
      </w:tblPr>
      <w:tblGrid>
        <w:gridCol w:w="1172"/>
        <w:gridCol w:w="1030"/>
        <w:gridCol w:w="1038"/>
        <w:gridCol w:w="196"/>
        <w:gridCol w:w="736"/>
        <w:gridCol w:w="109"/>
        <w:gridCol w:w="109"/>
        <w:gridCol w:w="109"/>
        <w:gridCol w:w="109"/>
        <w:gridCol w:w="196"/>
        <w:gridCol w:w="736"/>
        <w:gridCol w:w="109"/>
        <w:gridCol w:w="109"/>
        <w:gridCol w:w="109"/>
        <w:gridCol w:w="109"/>
        <w:gridCol w:w="114"/>
        <w:gridCol w:w="114"/>
        <w:gridCol w:w="161"/>
      </w:tblGrid>
      <w:tr>
        <w:trPr/>
        <w:tc>
          <w:tcPr>
            <w:tcW w:w="117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Udemy Business annual recurring revenue</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518,965 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479,401 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Udemy Business Net Dollar Retention Rate and Udemy Business Large Customer Net Dollar Retention Rate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disclose UB Net Dollar Retention Rate, or UB NDRR, as a measure of revenue growth for all UB customers within our Enterprise segment, including UB Large Customers, which we define as companies with at least 1,000 employees. We believe UB NDRR is an important metric that provides insight into the long-term value of our UB subscription agreements and our ability to retain and grow revenue from our UB customers. We believe UB Large Customer NDRR reflects our ability to retain and expand our footprint with larger organizations, who present greater opportunities for us to retain and grow revenue given the wider range of potential use cases and expansion opportunities.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calculate UB NDRR as the total ARR at the end of a trailing twelve-month period divided by the total ARR at the beginning of a trailing twelve-month period for the cohort of all UB customers active at the beginning of the trailing twelve-month period. We calculate UB Large Customer NDRR as the total UB Large Customer ARR at the end of a trailing twelve-month period divided by the total Large Customer ARR at the beginning of a trailing twelve-month period for the cohort of UB customers with at least 1,000 employees active at the beginning of the trailing twelve-month period. Total ARR and Large Customer ARR at the end of a trailing twelve-month period are calculated as ARR and Large Customer ARR, respectively, at the beginning of a trailing twelve-month period that are then adjusted for upsells, downsells, and churns for the same cohort of customers during that period. Large Customer ARR represents the annualized value of contracts for UB customers with active seats and having at least 1,000 employees on the last day of a given period.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UB NDRR and UB Large Customer NDRR are expected to fluctuate in future periods due to a number of factors, including the growth of our revenue base, the penetration within our learner base, expansion of products and features, and our ability to retain our UB customers. The decreases in our NDRR metrics were driven by lower rates of upsells and expansions and marginally lower net retention rates across all existing customers, although net retention among our UB Large Customers was higher.</w:t>
      </w:r>
    </w:p>
    <w:tbl>
      <w:tblPr>
        <w:tblW w:w="6030" w:type="dxa"/>
        <w:jc w:val="left"/>
        <w:tblInd w:w="0" w:type="dxa"/>
        <w:tblLayout w:type="fixed"/>
        <w:tblCellMar>
          <w:top w:w="28" w:type="dxa"/>
          <w:left w:w="28" w:type="dxa"/>
          <w:bottom w:w="28" w:type="dxa"/>
          <w:right w:w="28" w:type="dxa"/>
        </w:tblCellMar>
      </w:tblPr>
      <w:tblGrid>
        <w:gridCol w:w="1557"/>
        <w:gridCol w:w="1368"/>
        <w:gridCol w:w="1379"/>
        <w:gridCol w:w="209"/>
        <w:gridCol w:w="212"/>
        <w:gridCol w:w="256"/>
        <w:gridCol w:w="109"/>
        <w:gridCol w:w="109"/>
        <w:gridCol w:w="109"/>
        <w:gridCol w:w="210"/>
        <w:gridCol w:w="211"/>
        <w:gridCol w:w="301"/>
      </w:tblGrid>
      <w:tr>
        <w:trPr/>
        <w:tc>
          <w:tcPr>
            <w:tcW w:w="1557"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w:t>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3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Udemy Business net dollar retention rate</w:t>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30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Udemy Business Large Customer net dollar retention rate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Monthly average buyers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buyer is a consumer who purchases a course or subscription through our direct-to-consumer offering. We first determine the number of monthly buyers by taking the total buyers of single courses during a given month plus the total active, paid consumer subscribers at any point in that month, adjusting for duplicate buyers that may be present in both totals. We then calculate monthly average buyers by taking an average of the monthly buyer totals over a particular period, such as a fiscal year. Our monthly average buyer count is not intended as a measure of active engagement, as not all buyers are active at any given time or over any given period. We believe that the number of monthly average buyers in a given period is an important indicator of the growth of our business and potential future revenue trends. Our monthly average buyers count is expected to fluctuate in future periods due to a number of factors, including the growth of our customer base, expansion of products and features, and our ability to retain our Consumer customers.</w:t>
      </w:r>
    </w:p>
    <w:p>
      <w:pPr>
        <w:pStyle w:val="TextBody"/>
        <w:bidi w:val="0"/>
        <w:spacing w:before="0" w:after="0"/>
        <w:jc w:val="left"/>
        <w:rPr/>
      </w:pPr>
      <w:r>
        <w:rPr/>
      </w:r>
    </w:p>
    <w:tbl>
      <w:tblPr>
        <w:tblW w:w="5272" w:type="dxa"/>
        <w:jc w:val="left"/>
        <w:tblInd w:w="0" w:type="dxa"/>
        <w:tblLayout w:type="fixed"/>
        <w:tblCellMar>
          <w:top w:w="28" w:type="dxa"/>
          <w:left w:w="28" w:type="dxa"/>
          <w:bottom w:w="28" w:type="dxa"/>
          <w:right w:w="28" w:type="dxa"/>
        </w:tblCellMar>
      </w:tblPr>
      <w:tblGrid>
        <w:gridCol w:w="684"/>
        <w:gridCol w:w="600"/>
        <w:gridCol w:w="605"/>
        <w:gridCol w:w="283"/>
        <w:gridCol w:w="283"/>
        <w:gridCol w:w="283"/>
        <w:gridCol w:w="283"/>
        <w:gridCol w:w="283"/>
        <w:gridCol w:w="283"/>
        <w:gridCol w:w="283"/>
        <w:gridCol w:w="283"/>
        <w:gridCol w:w="283"/>
        <w:gridCol w:w="109"/>
        <w:gridCol w:w="109"/>
        <w:gridCol w:w="109"/>
        <w:gridCol w:w="149"/>
        <w:gridCol w:w="149"/>
        <w:gridCol w:w="211"/>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c>
          <w:tcPr>
            <w:tcW w:w="8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Monthly average buyers</w:t>
            </w:r>
          </w:p>
        </w:tc>
        <w:tc>
          <w:tcPr>
            <w:tcW w:w="5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1,412 </w:t>
            </w:r>
          </w:p>
        </w:tc>
        <w:tc>
          <w:tcPr>
            <w:tcW w:w="2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1,442 </w:t>
            </w:r>
          </w:p>
        </w:tc>
        <w:tc>
          <w:tcPr>
            <w:tcW w:w="2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r>
    </w:tbl>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Segment revenue and segment adjusted gross profit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revenue is generated from our UB and Consumer offerings, which respectively correspond to our two operating and reportable segments, Enterprise and Consumer. Segment revenue represents the revenue recognized from each of these offerings and is a key measure of the performance of our platform, and in turn drives our financial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also monitor segment adjusted gross profit as a key metric to help evaluate the financial performance of our individual segments and our business as a whole. Segment adjusted gross profit is defined as segment revenue less segment adjusted cost of revenue. Segment adjusted cost of revenue includes content costs, customer support services, hosting and platform costs, and payment processing fees that are allocable to each segment. Segment adjusted gross profit excludes amortization of capitalized software, depreciation, stock-based compensation, and amortization of intangible assets included in cost of revenue as our chief operating decision maker does not include the information in his measurement of the performance of the operating segments. Content costs, which are payments made to our instructors, are the largest individual component of segment adjusted cost of revenue. We expect to increase the percentage of our revenue derived from our Enterprise segment over time, which we expect will improve our gross margins. </w:t>
      </w:r>
    </w:p>
    <w:tbl>
      <w:tblPr>
        <w:tblW w:w="6176" w:type="dxa"/>
        <w:jc w:val="left"/>
        <w:tblInd w:w="0" w:type="dxa"/>
        <w:tblLayout w:type="fixed"/>
        <w:tblCellMar>
          <w:top w:w="28" w:type="dxa"/>
          <w:left w:w="28" w:type="dxa"/>
          <w:bottom w:w="28" w:type="dxa"/>
          <w:right w:w="28" w:type="dxa"/>
        </w:tblCellMar>
      </w:tblPr>
      <w:tblGrid>
        <w:gridCol w:w="1166"/>
        <w:gridCol w:w="1026"/>
        <w:gridCol w:w="1033"/>
        <w:gridCol w:w="210"/>
        <w:gridCol w:w="791"/>
        <w:gridCol w:w="275"/>
        <w:gridCol w:w="117"/>
        <w:gridCol w:w="117"/>
        <w:gridCol w:w="117"/>
        <w:gridCol w:w="210"/>
        <w:gridCol w:w="791"/>
        <w:gridCol w:w="323"/>
      </w:tblGrid>
      <w:tr>
        <w:trPr/>
        <w:tc>
          <w:tcPr>
            <w:tcW w:w="116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32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Enterprise segment revenue</w:t>
            </w:r>
          </w:p>
        </w:tc>
        <w:tc>
          <w:tcPr>
            <w:tcW w:w="21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127,748 </w:t>
            </w:r>
          </w:p>
        </w:tc>
        <w:tc>
          <w:tcPr>
            <w:tcW w:w="2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117,640 </w:t>
            </w:r>
          </w:p>
        </w:tc>
        <w:tc>
          <w:tcPr>
            <w:tcW w:w="3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Enterprise segment adjusted gross profit</w:t>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95,984 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84,642 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Enterprise segment adjusted gross margin</w:t>
            </w:r>
          </w:p>
        </w:tc>
        <w:tc>
          <w:tcPr>
            <w:tcW w:w="10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27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32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 segment revenue</w:t>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72,552 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79,206 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Consumer segment adjusted gross profit</w:t>
            </w:r>
          </w:p>
        </w:tc>
        <w:tc>
          <w:tcPr>
            <w:tcW w:w="21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40,401 </w:t>
            </w:r>
          </w:p>
        </w:tc>
        <w:tc>
          <w:tcPr>
            <w:tcW w:w="2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43,208 </w:t>
            </w:r>
          </w:p>
        </w:tc>
        <w:tc>
          <w:tcPr>
            <w:tcW w:w="3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 segment adjusted gross margin</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3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three months ended March 31, 2025, the improvement in Enterprise segment adjusted gross margin was primarily due to the reduction in instructor revenue share from 20% to 17.5% for all subscription offerings, which was effective on January 1, 2025. In addition, customer support costs allocable to the Enterprise segment as a percentage of Enterprise revenue also decreased when compared to the same period in the prior year. The mix of other segment items allocable to the Enterprise segment as a percentage of Enterprise revenue were generally consistent when compared to the same period in the prior year.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three months ended March 31, 2025, Consumer segment adjusted gross margin slightly increased in comparison to the same period in the prior year, due to the relative increase in consumer subscriptions as a percentage of total Consumer revenue and the reduction in instructor revenue share from 20% to 17.5% for consumer subscriptions.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Non-GAAP financial metrics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to the measures presented in our condensed consolidated financial statements, we use the following non-GAAP financial metrics identified below to help us evaluate our business, formulate business plans, and make strategic decisions.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Adjusted EBITDA and adjusted EBITDA margin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adjusted EBITDA facilitates internal comparisons of our historical operating performance on a more consistent basis, we use this measure for business planning purposes. Accordingly, we believe that adjusted EBITDA provides useful information to investors and others in understanding and evaluating our operating results in the same manner as our management team and board of directors. In addition, it provides a useful measure for period-to-period comparisons of our business, as it removes the effect of certain non-cash expenses and certain variable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define adjusted EBITDA as net loss, adjusted to exclude: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interest income;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interest expense;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provision for income taxes;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depreciation and amortization;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stock-based compensation expense;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other expense, net;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restructuring charges.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define adjusted EBITDA margin as adjusted EBITDA divided by revenue for the same period.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provides a reconciliation of net loss, the most directly comparable GAAP financial measure, to adjusted EBITDA (in thousands):</w:t>
      </w:r>
    </w:p>
    <w:tbl>
      <w:tblPr>
        <w:tblW w:w="5380" w:type="dxa"/>
        <w:jc w:val="left"/>
        <w:tblInd w:w="0" w:type="dxa"/>
        <w:tblLayout w:type="fixed"/>
        <w:tblCellMar>
          <w:top w:w="28" w:type="dxa"/>
          <w:left w:w="28" w:type="dxa"/>
          <w:bottom w:w="28" w:type="dxa"/>
          <w:right w:w="28" w:type="dxa"/>
        </w:tblCellMar>
      </w:tblPr>
      <w:tblGrid>
        <w:gridCol w:w="1006"/>
        <w:gridCol w:w="888"/>
        <w:gridCol w:w="895"/>
        <w:gridCol w:w="216"/>
        <w:gridCol w:w="713"/>
        <w:gridCol w:w="120"/>
        <w:gridCol w:w="120"/>
        <w:gridCol w:w="120"/>
        <w:gridCol w:w="120"/>
        <w:gridCol w:w="216"/>
        <w:gridCol w:w="796"/>
        <w:gridCol w:w="170"/>
      </w:tblGrid>
      <w:tr>
        <w:trPr/>
        <w:tc>
          <w:tcPr>
            <w:tcW w:w="100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7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(1,771)</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(18,339)</w:t>
            </w:r>
          </w:p>
        </w:tc>
        <w:tc>
          <w:tcPr>
            <w:tcW w:w="17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to exclude the following:</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9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(3,575)</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(5,728)</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expense</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9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9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17,967 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22,705 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w:t>
            </w:r>
          </w:p>
        </w:tc>
        <w:tc>
          <w:tcPr>
            <w:tcW w:w="9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21,149 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6,459 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following table provides a reconciliation of net loss margin, the most directly comparable GAAP financial measure, to adjusted EBITDA margin (in thousands, except percentages):</w:t>
      </w:r>
    </w:p>
    <w:tbl>
      <w:tblPr>
        <w:tblW w:w="4668" w:type="dxa"/>
        <w:jc w:val="left"/>
        <w:tblInd w:w="0" w:type="dxa"/>
        <w:tblLayout w:type="fixed"/>
        <w:tblCellMar>
          <w:top w:w="28" w:type="dxa"/>
          <w:left w:w="28" w:type="dxa"/>
          <w:bottom w:w="28" w:type="dxa"/>
          <w:right w:w="28" w:type="dxa"/>
        </w:tblCellMar>
      </w:tblPr>
      <w:tblGrid>
        <w:gridCol w:w="696"/>
        <w:gridCol w:w="609"/>
        <w:gridCol w:w="615"/>
        <w:gridCol w:w="196"/>
        <w:gridCol w:w="736"/>
        <w:gridCol w:w="256"/>
        <w:gridCol w:w="109"/>
        <w:gridCol w:w="109"/>
        <w:gridCol w:w="109"/>
        <w:gridCol w:w="196"/>
        <w:gridCol w:w="736"/>
        <w:gridCol w:w="301"/>
      </w:tblGrid>
      <w:tr>
        <w:trPr/>
        <w:tc>
          <w:tcPr>
            <w:tcW w:w="69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92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19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200,300 </w:t>
            </w:r>
          </w:p>
        </w:tc>
        <w:tc>
          <w:tcPr>
            <w:tcW w:w="256"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196,846 </w:t>
            </w:r>
          </w:p>
        </w:tc>
        <w:tc>
          <w:tcPr>
            <w:tcW w:w="301"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(1,771)</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(18,339)</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margin</w:t>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5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30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200,300 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196,846 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19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21,149 </w:t>
            </w:r>
          </w:p>
        </w:tc>
        <w:tc>
          <w:tcPr>
            <w:tcW w:w="2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6,459 </w:t>
            </w:r>
          </w:p>
        </w:tc>
        <w:tc>
          <w:tcPr>
            <w:tcW w:w="30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Net loss decreased by $16.6 million in the three months ended March 31, 2025, compared to the same period in the prior year. The improvement in net loss was driven by the reduction in the instructor revenue share from 20% to 17.5% for all subscription offerings (which was effective on January 1, 2025), decreases in direct marketing and stock-based compensation costs, and lower personnel costs as a result of our operational efficiency initiatives. Adjusted EBITDA improved by $14.7 million in the three months ended March 31, 2025, compared to the same period in the prior year. The improvement in adjusted EBITDA was largely driven by the reduction in the instructor revenue share for all subscription offerings, as well as a decrease in direct marketing costs, and a decrease in personnel costs, following our operational efficiency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As of March 31, 2025, our principal sources of liquidity were cash, cash equivalents and restricted cash of $190.7 million and marketable securities of $167.4 million. Cash and cash equivalents includes money market funds, certain U.S. government securities purchased with original maturities of less than 90 days, time and on demand deposits, and amounts in transit from certain payment processors for credit and debit card transactions. Restricted cash totaled $1.1 million and consists of cash deposited with financial institutions held as collateral for our obligations under various facility leases. Marketable securities are comprised of investments in U.S. government securities with an original maturity greater than 90 days at the date of purchase. Our non-U.S. cash and cash equivalents have been earmarked for indefinite investment in our operations outside the U.S., and consequently no U.S. current or deferred taxes have been accrued on such amounts. We believe that our existing cash and cash equivalents and our expected cash flows from operations will be sufficient to meet our cash needs for at least the next 12 months.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March 31, 2025, there have been no material changes to our commitments and contractual obligations, in comparison to those set forth in our Annual Report, that occurred outside the ordinary course of business. Refer to Note 6 – Leases and Note 7 – Commitments and contingencies in our unaudited condensed consolidated financial statements, included in Part I, Item 1 of this Form 10-Q, for our outstanding commitments and contractual obligations as of March 31, 2025.</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discussed above, we committed to a restructuring plan in September 2024. As a result, we have incurred cash-based restructuring charges, primarily consisting of one-time severance payments, salary and wages earned over required retention periods, and other benefits. The restructuring plan has been substantially completed as of March 31, 2025, though we expect to incur immaterial restructuring charges and make cash payments related to the plan through the third quarter of 2025. These charges may impact our operating cash flows until then. We plan to pay these amounts using our existing cash and cash equivalents.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Over the long term, we plan to continue investing in the growth and development of our platform. If our available funds are insufficient to fund these future activities or execute on our business strategies, we may raise additional capital through equity, equity-linked or debt financing, to the extent such funding sources are available. Alternatively, we may be required to reduce expenses to manage liquidity; however, any such reductions could adversely impact our business and competitive position.</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Sources of funds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We have historically financed our operations primarily through revenue, as well as proceeds from issuances of our capital stock. From time to time, we may explore additional financing sources, which could include equity, equity-linked or debt financing. In addition, in connection with any future acquisitions or strategic investments, we may pursue additional funding, which could include debt, equity or equity-linked financings, or a combination of these methods. We can provide no assurance that any additional financing will be available to us on acceptable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Use of funds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Our principal uses of cash are funding our operations, capital expenditures and working capital requirements. We have generated significant net losses from our operations as reflected in our accumulated deficit of $806.8 million as of March 31, 2025. We have historically incurred operating losses and generated negative cash flows from operations as we have invested in growing our business. Our operating cash requirements may increase in the future as we continue to invest in the development of our platform and the growth of our business. We cannot be certain our revenue will grow sufficiently to offset our operating expense increases. As a result, we may need to raise additional funds to support our operations, and such funding may not be available to us on acceptable terms, if at all.</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following table summarizes our cash flows for the periods indicated (in thousands):</w:t>
      </w:r>
    </w:p>
    <w:tbl>
      <w:tblPr>
        <w:tblW w:w="7045" w:type="dxa"/>
        <w:jc w:val="left"/>
        <w:tblInd w:w="0" w:type="dxa"/>
        <w:tblLayout w:type="fixed"/>
        <w:tblCellMar>
          <w:top w:w="28" w:type="dxa"/>
          <w:left w:w="28" w:type="dxa"/>
          <w:bottom w:w="28" w:type="dxa"/>
          <w:right w:w="28" w:type="dxa"/>
        </w:tblCellMar>
      </w:tblPr>
      <w:tblGrid>
        <w:gridCol w:w="1614"/>
        <w:gridCol w:w="1416"/>
        <w:gridCol w:w="1424"/>
        <w:gridCol w:w="216"/>
        <w:gridCol w:w="713"/>
        <w:gridCol w:w="120"/>
        <w:gridCol w:w="120"/>
        <w:gridCol w:w="120"/>
        <w:gridCol w:w="120"/>
        <w:gridCol w:w="216"/>
        <w:gridCol w:w="796"/>
        <w:gridCol w:w="170"/>
      </w:tblGrid>
      <w:tr>
        <w:trPr/>
        <w:tc>
          <w:tcPr>
            <w:tcW w:w="161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45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w:t>
            </w:r>
          </w:p>
        </w:tc>
        <w:tc>
          <w:tcPr>
            <w:tcW w:w="104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activities</w:t>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20,969 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Investing activities</w:t>
            </w:r>
          </w:p>
        </w:tc>
        <w:tc>
          <w:tcPr>
            <w:tcW w:w="9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(7,414)</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(3,770)</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activities</w:t>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(5,907)</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(66,465)</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foreign exchange rates on cash flows</w:t>
            </w:r>
          </w:p>
        </w:tc>
        <w:tc>
          <w:tcPr>
            <w:tcW w:w="92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2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7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decrease in cash, cash equivalents and restricted cash</w:t>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(1,075)</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(49,316)</w:t>
            </w:r>
          </w:p>
        </w:tc>
        <w:tc>
          <w:tcPr>
            <w:tcW w:w="1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Cash provided by operating activities mainly consists of our net loss, adjusted for certain non-cash items, including stock-based compensation, depreciation and amortization, amortization of deferred sales commissions, as well as the effect of changes in operating assets and liabilities during each period.</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Our main source of operating cash is payments received from our customers. Our primary use of cash from operating activities are for personnel-related expenses, instructor payments, advertising and marketing expenses, indirect taxes, and third-party cloud infrastructure expenses.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For the three months ended March 31, 2025, cash provided by operating activities was $12.2 million, primarily consisting of our net loss of $1.8 million, adjusted for non-cash charges of $41.9 million and net cash outflows of $27.9 million provided by changes in our operating assets and liabilities. The main drivers of the changes in operating assets and liabilities were a $25.1 million increase in accounts receivable, a $19.5 million increase in deferred contract costs, a $10.0 million decrease in accounts payable, accrued expenses and other liabilities, and a $4.1 million increase in prepaid and other assets. These changes were offset by a $34.8 million increase in deferred revenue.</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For the three months ended March 31, 2024, cash provided by operating activities was $21.0 million, primarily consisting of our net loss of $18.3 million, adjusted for non-cash charges of $43.4 million and net cash outflows of $4.1 million provided by changes in our operating assets and liabilities. The main drivers of the changes in operating assets and liabilities were an $18.1 million increase in deferred contract costs, an $8.0 million increase in accounts receivable, a $5.0 million increase in prepaid expenses and other current assets, and a $4.9 million decrease in content costs payable. These changes were offset by a $35.5 million increase in deferred revenue.</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Net cash provided by operating activities decreased by $8.8 million for the three months ended March 31, 2025, compared to the same period in the prior year, primarily due to the timing of billings and collections on accounts receivable, and the timing of certain accounts payable, accrued expenses and other liabilities activities, including restructuring costs accrued for in prior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For the three months ended March 31, 2025, net cash used in investing activities was $7.4 million, primarily as a result of $78.6 million in purchases of marketable securities, $2.4 in purchases of property and equipment, and $2.7 million related to capitalized software costs. These changes were partially offset by $76.4 million of proceeds received from the maturity of marketable securities.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For the three months ended March 31, 2024, net cash used in investing activities was $3.8 million, primarily as a result of $89.5 million in purchases of marketable securities and $3.3 million related to capitalized internal-use software costs, which were partially offset by $89.2 million of proceeds received from the maturity of marketable securities.</w:t>
      </w:r>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For the three months ended March 31, 2025, net cash used in financing activities was $5.9 million, primarily driven by taxes paid related to net share settlement of employee equity awards.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For the three months ended March 31, 2024, net cash used in financing activities was $66.5 million, driven by repurchases of common stock of $55.1 million and $11.6 million in taxes paid related to net share settlement of employee equity awards.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During the periods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condensed consolidated financial statements have been prepared in accordance with GAAP. The preparation of these condensed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There have been no material changes to our critical accounting policies and estimates as compared to those described in “Management’s Discussion and Analysis of Financial Condition and Results of Operations” included in Part II, Item 7 of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See Note 2 to our condensed consolidated financial statements included in Part I, Item 1 of this Quarterly Report on Form 10-Q for information regarding recently issued accounting pronouncements.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200" w:after="283"/>
        <w:jc w:val="left"/>
        <w:rPr>
          <w:rFonts w:ascii="Arial;sans-serif" w:hAnsi="Arial;sans-serif"/>
          <w:b/>
          <w:color w:val="000000"/>
          <w:sz w:val="24"/>
        </w:rPr>
      </w:pPr>
      <w:r>
        <w:rPr>
          <w:rFonts w:ascii="Arial;sans-serif" w:hAnsi="Arial;sans-serif"/>
          <w:b/>
          <w:color w:val="000000"/>
          <w:sz w:val="24"/>
        </w:rPr>
        <w:t>Item 3. Quantitative and Qualitative Disclosures About Market Risk</w:t>
      </w:r>
    </w:p>
    <w:p>
      <w:pPr>
        <w:pStyle w:val="TextBody"/>
        <w:bidi w:val="0"/>
        <w:spacing w:lineRule="auto" w:line="288" w:before="120" w:after="283"/>
        <w:jc w:val="left"/>
        <w:rPr/>
      </w:pPr>
      <w:r>
        <w:rPr>
          <w:rFonts w:ascii="Arial;sans-serif" w:hAnsi="Arial;sans-serif"/>
          <w:b/>
          <w:i/>
          <w:color w:val="000000"/>
          <w:sz w:val="20"/>
        </w:rPr>
        <w:t>Interest rate sensitivity</w:t>
      </w:r>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March 31, 2025 we had $189.6 million of cash and cash equivalents, which includes money market funds, certain U.S. government securities purchased with original maturities of less than 90 days, time and on demand deposits, and amounts in transit from certain payment processors for credit and debit card transactions. We also held $167.4 million of marketable securities, consisting of investments in various U.S. government securities. In addition, we had $1.1 million of restricted cash, primarily consisting of cash deposited with financial institutions held as collateral for our obligations under various facility leases. We did not hold any long-term debt during the three months ended March 31, 2025 or 2024.</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cash and cash equivalents are held for working capital purposes. Given the above facts and circumstances, hypothetical changes in interest rates of 100 basis points would not result in a material increase or decrease of either the market value of our portfolio of cash equivalents and marketable securities as of March 31, 2025, or interest income earned from our portfolio during the three months ended March 31, 2025.</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Foreign currency risk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reporting currency is the U.S. dollar. We determine the functional currency for each of our foreign subsidiaries by reviewing their operations and currencies used in their primary economic environments. Fluctuations in foreign currency exchange rates may cause us to recognize transaction gains and losses in our condensed consolidated statement of operations, or translation gains and losses in accumulated other comprehensive income (loss) as a component of stockholders’ equity. Our marketable securities portfolio is also held in U.S. dollar investments, and to date, we have not entered into any hedging arrangements with respect to foreign currency risk or other derivative financial instruments, although we may choose to do so in the future. As such, a hypothetical 10% increase or decrease in current exchange rates would not have had a material impact on income or expense for the three months ended March 31, 2025 or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200" w:after="283"/>
        <w:jc w:val="left"/>
        <w:rPr>
          <w:rFonts w:ascii="Arial;sans-serif" w:hAnsi="Arial;sans-serif"/>
          <w:b/>
          <w:color w:val="000000"/>
          <w:sz w:val="24"/>
        </w:rPr>
      </w:pPr>
      <w:r>
        <w:rPr>
          <w:rFonts w:ascii="Arial;sans-serif" w:hAnsi="Arial;sans-serif"/>
          <w:b/>
          <w:color w:val="000000"/>
          <w:sz w:val="24"/>
        </w:rPr>
        <w:t>Item 4. Controls and Procedures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required by Rule 13a-15(b) under the Securities Exchange Act of 1934, as amended (the “Exchange Act”), our management, including our Chief Executive Officer and Chief Financial Officer, evaluated the effectiveness of our disclosure controls and procedures as of the end of the period covered by this Quarterly Report on Form 10-Q. Based upon that evaluation, our Chief Executive Officer and Chief Financial Officer concluded that, as of the end of the period covered by this Quarterly Report on Form 10-Q,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were no changes to our internal control over financial reporting that occurred during the quarter ended March 31, 2025 that have materially affected, or are reasonably likely to materially affect, our internal control over financial reporting.</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Inherent limitations on the effectiveness of internal controls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disclosure controls and procedures are designed to provide reasonable assurance of achieving their objectives as specified above. However, our management, including our Chief Executive Officer and Chief Financial Officer, does not expect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Item 1. Legal Proceedings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From time to time, we are involved in legal proceedings and subject to claims that arise in the ordinary course of our business. Although the results of legal proceedings and claims cannot be predicted with certainty, we believe we are not currently party to any legal proceedings which, if determined adversely to us, would individually or taken together have a material adverse effect on our business, operating results or financial condition.</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Video Privacy Protection Act class action complaint and threatened arbitration demands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December 12, 2022, a putative class action complaint captioned Mohamed Saleh v. Udemy, Inc., was filed against us, alleging violations of the Video Privacy Protection Act (the “VPPA”) and claiming that Udemy violated the VPPA by knowingly sharing personally identifiable information about the viewing history of Udemy courses with an advertiser. The complaint is currently pending in the United States District Court for the District of New Jersey, Case No. 2:23-cv-02207.</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complaint seeks declaratory relief, injunctive relief, statutory, liquidated, and punitive damages, as well as reasonable attorney fees and costs. On August 30, 2023, we filed a motion to compel arbitration and on March 21, 2024, the motion was granted and the matter stayed pending individual arbitration.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several law firms have threatened to file individual arbitration demands against us on behalf of approximately 20,000 purported Udemy learners. The firms threaten claims similar to those in the class action complaint described above arising under the VPPA and/or California state privacy laws. Udemy has resolved substantially all of the claims of these purported learners for an immaterial amount. We intend to vigorously defend ourselves in these matters.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Other legal proceedings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subject to other legal proceedings and claims that arise in the ordinary course of business from time to time, as well as governmental and other regulatory investigations and proceedings. In addition, third parties may from time to time assert claims against us in the form of letters and other communications. We are not currently a party to any legal proceedings that, if determined adversely to us, would, in our opinion, have a material adverse effect on our business, financial condition, results of operations, or cash flows. Future litigation may be necessary to defend ourselves and our business partners and to determine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200" w:after="283"/>
        <w:jc w:val="left"/>
        <w:rPr>
          <w:rFonts w:ascii="Arial;sans-serif" w:hAnsi="Arial;sans-serif"/>
          <w:b/>
          <w:color w:val="000000"/>
          <w:sz w:val="24"/>
        </w:rPr>
      </w:pPr>
      <w:r>
        <w:rPr>
          <w:rFonts w:ascii="Arial;sans-serif" w:hAnsi="Arial;sans-serif"/>
          <w:b/>
          <w:color w:val="000000"/>
          <w:sz w:val="24"/>
        </w:rPr>
        <w:t>Item 1A. Risk Factors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Certain factors may have a material adverse effect on our business, financial condition, and results of operations. You should carefully consider the following risks, together with all of the other information contained in this Form 10-Q, including the sections titled “Special Note Regarding Forward-Looking Statements” and “Management’s Discussion and Analysis of Financial Condition and Results of Operations” and our financial statements and the related notes included elsewhere in this Form 10-Q. Any of the following risks could have an adverse effect on our business, financial condition, operating results, or prospects and could cause the trading price of our common stock to decline, which would cause you to lose all or part of your investment. Our business, financial condition, operating results, or prospects could also be harmed by risks and uncertainties not currently known to us or that we currently do not believe are material.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Risks related to our business and operations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have a history of losses, and we may not be able to generate sufficient revenue to achieve or maintain profitability in the future.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reported net losses of $1.8 million and $18.3 million during the three months ended March 31, 2025 and 2024, respectively, and, as of March 31, 2025, we had an accumulated deficit of $806.8 million. Our losses may continue in the near-term as we continue to make targeted investments towards growing our business and operating as a public company. We have invested, and expect to continue to invest, substantial financial and other resources in developing our platform, including expanding our platform offerings, developing or acquiring new platform features and services, expanding into new markets and geographies, and increasing our sales and marketing efforts. These expenditures may make achieving and maintaining profitability more difficult, and these efforts may also be more costly than we expect and may not result in increased revenue or growth in our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undertaken, and are continuing to undertake, measures intended to accelerate our operational efficiency and position our company for long-term profitability. However, we cannot guarantee that these measures will be successful. We may experience delays or unanticipated costs in implementing these measures, which could prevent the timely or full realization of the anticipated benefits. Even if we successfully execute on our operational efficiency measures, these measures may not be sufficient to ensure our investments and other expenses keep pace with our 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result, we can provide no assurance as to whether or when we will achieve profitability. If we are not able to achieve and maintain profitability, the value of our company and our common stock could decline significantly, and you could lose some or all of your investment.</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operate in an emerging and dynamic market, which makes it difficult to evaluate our prospects and future results of operations.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market for online learning solutions is relatively new and continues to evolve rapidly. These factors may make it difficult to accurately assess our future prospects and the risks, challenges, and uncertainties that we may encounter. These uncertainties include: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maintaining and increasing a base of learners, instructors, and UB customers using our platform;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successfully competing with existing and future participants in the market for online learning solutions;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successfully expanding our business in existing markets and entering new markets and geographies;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anticipating and responding to market and broader economic conditions;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avoiding interruptions or disruptions in the service of our platform;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accurately forecasting our revenue and operating expenses on a quarterly and annual basis;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maintaining and enhancing the value of our reputation and brand;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attracting, hiring, and retaining qualified personnel to manage our operations and further develop our platform;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effectively managing growth in our operations, including personnel;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successfully implementing and executing our business strategies.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Additionally, because we operate in a rapidly evolving market, any predictions about our future revenue and expenses may not be as accurate as they would be if we operated in a more established and predictable market. We have encountered in the past, and will encounter in the future, risks, challenges, and uncertainties frequently experienced by companies operating in emerging markets. If our assumptions regarding any of these risks, challenges, or uncertainties, which we use to plan and operate our business, are incorrect or change, or if we do not address them successfully, our results of operations could differ materially from our expectations and our business, financial condition, and results of operations could be adversely affected.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Our results of operations may fluctuate significantly from period to period due to a wide range of factors, which makes our future results difficult to predict. </w:t>
      </w:r>
    </w:p>
    <w:p>
      <w:pPr>
        <w:pStyle w:val="TextBody"/>
        <w:bidi w:val="0"/>
        <w:spacing w:lineRule="auto" w:line="288" w:before="120" w:after="283"/>
        <w:jc w:val="left"/>
        <w:rPr/>
      </w:pPr>
      <w:r>
        <w:rPr>
          <w:rFonts w:ascii="Arial;sans-serif" w:hAnsi="Arial;sans-serif"/>
          <w:b w:val="false"/>
          <w:color w:val="000000"/>
          <w:sz w:val="20"/>
        </w:rPr>
        <w:t xml:space="preserve">Our results of </w:t>
      </w:r>
      <w:r>
        <w:rPr>
          <w:rFonts w:ascii="Arial;sans-serif" w:hAnsi="Arial;sans-serif"/>
          <w:b w:val="false"/>
          <w:color w:val="000000"/>
          <w:sz w:val="20"/>
          <w:shd w:fill="FFFFFF" w:val="clear"/>
        </w:rPr>
        <w:t>operations have historically varied from period to period, and we expect that our results of operations will continue to vary significantly from quarter to quarter and year to year because of a variety of factors, many of which are outside of our control. As a result, comparing our results of operations on a period-to-period basis may not be meaningful. Factors that may contribute to the variability of our quarterly and annual results include, but are not limited to:</w:t>
      </w:r>
      <w:r>
        <w:rPr>
          <w:color w:val="000000"/>
        </w:rPr>
        <w:t xml:space="preserv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our ability to attract and retain learners, instructors, and enterprises that use our platform in a cost-effective manner;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our ability to accurately forecast revenue and operating expenses;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effects of increased competition on our business;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impact of worldwide economic conditions, including the resulting effect on consumer and business spending on online learning solutions;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successfully expand in existing markets and successfully enter new markets and manage the risks associated with doing so;</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our ability to successfully leverage our resellers and other strategic relationships to market and sell our products;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changes in learner or customer behavior with respect to online learning solutions;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increases in marketing, sales, and other operating expenses that we may incur to grow and acquire new learners, instructors, and customers;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revenue mix between our consumer and UB offerings;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our ability to maintain an adequate rate of growth and effectively manage that growth;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effects of changes in search engine placement and prominence;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keep pace with technology changes in our industry;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success of our sales and marketing efforts;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our ability to protect, maintain, and enforce our intellectual property rights;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costs associated with defending claims, including intellectual property infringement claims, and related judgments or settlements;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changes in governmental or other regulations affecting our business;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actual or anticipated changes in international trade policies, including those resulting from tariffs, trade barriers and other trade regulations, as well as the actual or anticipated effect of such policies on us and our customers;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interruptions in service and any related impact on our business, reputation, or brand;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attraction and engagement of qualified employees and key personnel;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our ability to choose and effectively manage third-party service providers;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effects of natural or man-made catastrophic events, including wars and other armed conflicts, such as Russia’s invasion of Ukraine and the ongoing conflicts in the Middle East;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impact of actual or anticipated public health emergencies, such as an outbreak of an epidemic or pandemic;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potential volatility in our gross margins, including due to revenue mix shifts between our Enterprise and Consumer segments, changes in our pricing policies, increased use of subscriptions in our Consumer segment, and timing differences between recognition of revenue and related content costs for courses;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effectiveness of our internal controls over financial reporting;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impact of payment processor costs and procedures; and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changes in our tax rates or exposure to additional tax liabilities.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unpredictability of our results of operations could cause our results to vary from period to period or to fall below our public guidance or the expectations of analysts and investors for a given period, which will adversely affect our business, financial condition, and results of operations. </w:t>
      </w:r>
    </w:p>
    <w:p>
      <w:pPr>
        <w:pStyle w:val="TextBody"/>
        <w:bidi w:val="0"/>
        <w:spacing w:lineRule="auto" w:line="288" w:before="180" w:after="283"/>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Our growth may not be sustainable and depends on our ability to attract new learners, instructors, and organizations and retain existing ones.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success depends, in part, on growing the number of learners and instructors engaging with our platform. We believe the increase in the number of instructors increases the quality and quantity of the content available on our platform, in turn making our platform more appealing and engaging to learners in both our Enterprise and Consumer segments. This increase in learners then attracts more instructors to our platform. This dynamic marketplace model takes time to build and may grow at a slower pace than we expect. In addition, although the number of individual and UB learners and instructors engaging with our platform has grown in recent years, there can be no assurance that this growth will continue. For example, there is significant uncertainty regarding the adoption and growth of remote, online and asynchronous learning and training, as well as skills-based learning, compared to the traditional models of education and training, which may adversely affect demand for our platform. We have also experienced elongated sales cycles for our UB offerings as a result of what we believe to be budget tightening as a result of economic uncertainty. Additionally, our average sales cycle may lengthen as we focus more on our UB Large Customers, which we define as companies with at least 1,000 employees, and which tend to have longer procurement processes than smaller customers. If we fail to grow or maintain the number of learners and instructors engaging with our platform, the value of our platform will diminish and our revenue will decline.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believe that many of our new learners find us by word of mouth and other non-paid referrals from existing learners. If existing learners do not find our platform or its content appealing and engaging, whether because of a negative experience with, declining interest in or relevancy of the content, they may stop referring others to us. In turn, if instructors perceive that our platform lacks an adequate learner audience, instructors may be less willing to provide content for our platform, and the experience of learners could be further negatively impacted. The willingness or ability of instructors to provide content for our platform could also be negatively impacted by other factors, such as: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complaints or negative publicity about us or our platform, even if factually incorrect or based on isolated incidents;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changes to our terms and policies that our instructors find, or even perceive, to be unpopular or that are not clearly articulated to them; or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our failure or perceived failure to enforce our policies fairly and transparently.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addition, the costs associated with retaining learners and instructors are substantially lower than those associated with acquiring new learners and instructors. As a result, if we are unable to retain existing learners and instructors, even if such losses are offset by an increase in revenue resulting from new learners and instructors, it could harm our growth prospects and have a material adverse effect on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Our platform relies on a limited number of instructors who create a significant portion of the most popular content on our platform, and the loss of these instructor relationships could adversely affect our business, financial condition, and results of operations. </w:t>
      </w:r>
    </w:p>
    <w:p>
      <w:pPr>
        <w:pStyle w:val="TextBody"/>
        <w:bidi w:val="0"/>
        <w:spacing w:lineRule="auto" w:line="288" w:before="120" w:after="283"/>
        <w:jc w:val="left"/>
        <w:rPr/>
      </w:pPr>
      <w:r>
        <w:rPr>
          <w:rFonts w:ascii="Arial;sans-serif" w:hAnsi="Arial;sans-serif"/>
          <w:b w:val="false"/>
          <w:color w:val="000000"/>
          <w:sz w:val="20"/>
        </w:rPr>
        <w:t>We strive to build meaningful connections with instructors, ranging from those that are well known and have created extensively to those that have just begun the process of creating courses. As of March 31, 2025, we had relationships with 85,000 instructors. Although we view the breadth and diverse expertise of our instructor base and the content they create as one of our competitive advantages, a significant portion of the most popular content on our platform—and consequently a significant portion of our revenue—is attributable to a limited number of our instructor</w:t>
      </w:r>
      <w:r>
        <w:rPr>
          <w:rFonts w:ascii="Arial;sans-serif" w:hAnsi="Arial;sans-serif"/>
          <w:b w:val="false"/>
          <w:color w:val="000000"/>
          <w:sz w:val="20"/>
          <w:shd w:fill="FFFFFF" w:val="clear"/>
        </w:rPr>
        <w:t xml:space="preserve">s. Instructors may unpublish content or choose to leave the Udemy platform altogether, subject to certain contractual limitations, for a variety of reasons. For example, in November 2023 we announced changes to our instructor revenue share model, the first and second rate adjustments of which which became effective at the beginning of 2024 and 2025, respectively; these changes, together with any future changes we may announce in the future, could result in instructor attrition. </w:t>
      </w:r>
      <w:r>
        <w:rPr>
          <w:rFonts w:ascii="Arial;sans-serif" w:hAnsi="Arial;sans-serif"/>
          <w:b w:val="false"/>
          <w:color w:val="000000"/>
          <w:sz w:val="20"/>
        </w:rPr>
        <w:t>Although we do not believe the loss of any one instructor would materially impact our business, significant attrition by multiple instructors, as well as any failure to attract additional instructors or source replacement content as needed, could adversely affect our ability to provide high-quality, engaging, and relevant content for one or more subject matters, slow the pace at which we provide such content, and reduce the attractiveness of our platform to learners and customers, any of which could negatively impact our business, financial condition, and results of operations.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If we fail to maintain and expand our relationships with UB customers, our ability to grow our business and revenue will suffer.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Revenue from our Enterprise segment represented 64% and 60% of total revenue during the three months ended March 31, 2025 and 2024, respectively. We believe that our future success depends, in part, on our ability to grow this offering, both by retaining and expanding our relationship with existing customers and attracting new customers. Many customers initially use our platform within specific groups or departments within their organizations, or for specific use cases. Our ability to grow our UB business depends, in part, on our ability to persuade these customers to expand their use of our platform to address additional use cases. Further, the continued growth of our business requires that our customers renew their subscriptions with us and that we expand our relationships with our existing customers. Customers may decide not to renew their subscriptions with a similar contract period, at the same prices and terms, with the same or a greater number of users, or at all. It is difficult to accurately predict whether we will have future success in retaining customers or expanding our relationships with them. We have experienced significant growth in the number of customers subscribing to our UB offerings, but we do not know whether we will continue to achieve similar growth, or achieve any growth at all, in the future. Our ability to retain UB customers and expand our deployments with them may decline or fluctuate as a result of a number of factors, including customers’ satisfaction with our platform, the quality and timeliness of our customer success and customer support services, our prices, the prices and features of competing solutions, customers’ spending levels, sufficient adoption of our platform by our customers’ constituents, and customers’ satisfaction with new feature releases, any of which could cause our revenue to decline or grow less quickly than anticipated, which would harm our business, financial condition, and results of operations.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operate in a highly competitive market, and we may not be able to compete successfully against current and future competitors.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operate in a highly competitive environment, as the market for online learning is relatively new, fragmented, and rapidly evolving, with limited barriers to entry. We compete for learners, enterprise customers, and instructors: </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Learners</w:t>
      </w:r>
      <w:r>
        <w:rPr>
          <w:rFonts w:ascii="Arial;sans-serif" w:hAnsi="Arial;sans-serif"/>
          <w:b w:val="false"/>
          <w:color w:val="000000"/>
          <w:sz w:val="20"/>
        </w:rPr>
        <w:t xml:space="preserve">: We compete for learners based on our course catalog, instructors, and learning tools. </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UB customers</w:t>
      </w:r>
      <w:r>
        <w:rPr>
          <w:rFonts w:ascii="Arial;sans-serif" w:hAnsi="Arial;sans-serif"/>
          <w:b w:val="false"/>
          <w:color w:val="000000"/>
          <w:sz w:val="20"/>
        </w:rPr>
        <w:t xml:space="preserve">: We compete for customers based on our up-to-date content, the breadth and depth of that content across the full range of core business functions, and advanced product features that optimize self-paced learning and enable organizations to effectively drive programmatic learning. </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Instructors</w:t>
      </w:r>
      <w:r>
        <w:rPr>
          <w:rFonts w:ascii="Arial;sans-serif" w:hAnsi="Arial;sans-serif"/>
          <w:b w:val="false"/>
          <w:color w:val="000000"/>
          <w:sz w:val="20"/>
        </w:rPr>
        <w:t xml:space="preserve">: We compete for instructors based on our ability to promote monetization opportunities.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competition includes corporate training offerings, direct-to-consumer training offerings, specialized content training offerings, and free online resources used to gather and share knowledge and skills.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expect our existing competitors and new entrants to the online learning market to continually evolve and improve their business models. If these or other market participants introduce new or improved delivery of online education and technology-enabled services that are more compelling or widely accepted than ours, our ability to grow our revenue and achieve profitability could suffer. The emergence of enhanced generative artificial intelligence capabilities could provide competitors with an advantage. Several new and existing companies in the online education industry provide or may provide offerings similar to what we offer on our platform, and, despite any exclusivity arrangements we have with our instructors, these companies may nonetheless pursue relationships with our instructors that may reduce, or stop altogether, the content our instructors produce for our platform. In addition, enterprise customers may choose to continue using or develop their own online learning or training solutions in-house rather than pay for our platform.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believe that our ability to successfully compete depends on a range of factors, both within and beyond our control, including: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availability or development of alternative online learning platforms that are more compelling to learners, instructors, or organizations than ours;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changes in pricing policies and terms offered by our competitors or by us, including the 2024 change to our instructor revenue sharing model;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ability to adapt to or compete with new technologies and changes in requirements of our learners, instructors, and UB customers;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ability to adapt to disruptive innovation that may significantly alter or transform the competitive landscape, such as natural language processing, artificial intelligence and machine learning;</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costs associated with acquiring and retaining learners, instructors, and UB customers;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ability of our current and future competitors to establish relationships with customers;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industry consolidation and the number and rate of new entrants;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difficulties with software development that could delay or prevent the development, introduction or implementation of platform modifications and enhancements; and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costs associated with improving and maintaining our platform.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Current and potential competitors (including any new entrants into the market) may enjoy substantial competitive advantages over us, such as greater name recognition, longer operating histories, market- or industry-specific knowledge, more successful marketing capabilities, more successful adaptation to or integration of emerging technologies such as artificial intelligence, and substantially greater financial, technical, and other resources than we have. Our current or new competitors may adopt certain aspects of our business model, which could reduce our ability to differentiate our services. Furthermore, online educational content is not typically marketed exclusively through any single channel and, accordingly, our competitors could aggregate a set of online learning courses similar to ours. Competition may intensify as our competitors raise additional capital or as new participants, including established companies, enter the markets in which we compete. Our ability to grow our business and achieve profitability could be impaired if we cannot compete successfully.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The market for online learning solutions may not grow as we expect, which may harm our business, financial condition, and results of operations.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future success depends in part on the future growth in the demand for online learning solutions. We expect that broader societal and macroeconomic conditions, including inflation, interest rates, general economic uncertainty, and the prevalence of remote or hybrid work, will influence the further development of the online learning market and the growth rate of remote, online and asynchronous learning and training solutions such as ours. In addition, the rate at which online learning solutions are adopted by learners or UB customers may also depend on a variety of factors specific to individual learners or UB customers, such as budget constraints and training needs. Consequently, it is difficult to predict demand for and continued use of our platform by learners, instructors, and UB customers, the rate at which existing learners and instructors expand their engagement with our platform, the size and growth rate of the market for our platform, the entry of competitive offerings into the market, or the success of existing competitive offerings. Even if market demand for online learning solutions generally increases, we cannot assure you that adoption of our platform will also increase. If the market for online learning solutions does not grow as we expect or our platform does not achieve widespread adoption, it could result in reduced learner and customer spending, reduced engagement from instructors, attrition by learners, instructors, and UB customers, and decreased revenue, any of which would adversely affect our business, financial condition, and results of operations.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may need to change our pricing model for our platform’s offerings, which in turn could adversely impact our results of operations.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have in the past, and expect that we may in the future, need to change our pricing model or target contract length from time to time. As the market for our learning platform develops, as new competitors introduce competitive applications or services, or as we enter into new international markets, we may be unable to attract new learners or UB customers at the same price or based on the same pricing models we have historically used, or for contract lengths consistent with our historical averages. In addition, as we introduce new products, or improve existing ones, we may not be successful in developing appealing pricing and contract models for these products. Pricing and contract length decisions may also impact the mix of adoption among our offerings and negatively impact our overall revenue. Competition may also require us to make substantial price concessions. Moreover, our consumer pricing model and methodology has been, and may in the future become, subject to legal challenge under applicable federal or state laws, regulations, and guidelines relating to promotional pricing practices. Our results of operations may be adversely affected by any of the foregoing, and we may have increased difficulty achieving or maintaining profitability. </w:t>
      </w:r>
    </w:p>
    <w:p>
      <w:pPr>
        <w:pStyle w:val="TextBody"/>
        <w:bidi w:val="0"/>
        <w:spacing w:lineRule="auto" w:line="288" w:before="120" w:after="283"/>
        <w:jc w:val="left"/>
        <w:rPr/>
      </w:pPr>
      <w:r>
        <w:rPr>
          <w:rFonts w:ascii="Arial;sans-serif" w:hAnsi="Arial;sans-serif"/>
          <w:b/>
          <w:i/>
          <w:color w:val="000000"/>
          <w:sz w:val="20"/>
        </w:rPr>
        <w:t>Failure to effectively leverage our strategic partnerships to market and sell our products could impact our ability to increase brand awareness and grow our revenue</w:t>
      </w:r>
      <w:r>
        <w:rPr>
          <w:rFonts w:ascii="Arial;sans-serif" w:hAnsi="Arial;sans-serif"/>
          <w:b/>
          <w:i/>
          <w:color w:val="000000"/>
          <w:sz w:val="18"/>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rely on strategic partners, including resellers, for certain sales and marketing efforts. We plan to continue to establish and maintain similar strategic relationships as part of our growth strategy, and we expect these partners to become an increasingly important aspect of our business. Identifying partners and negotiating terms with them requires significant time and resources, and we are dependent on our ability to negotiate terms that are favorable to us and provide sufficient incentives for our partners to promote our products. If our partners do not effectively sell or market our products, choose to promote our competitors’ products or otherwise choose not to devote sufficient efforts to our business, our ability to grow our revenue may be impaired, and our results of operations may suffer.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we have granted exclusivity to resellers in certain geographies for UB, and so we are dependent on the sales efforts of our resellers in those geographies. For example, we have partnered with Benesse as our exclusive reseller in Japan. If we fail to effectively manage our existing resellers, or if our reseller partners are unsuccessful in fulfilling the orders for our products, or if we are unable to enter into arrangements with, and retain a sufficient number of, high quality reseller partners in each of the regions in which they sell products and keep them motivated to sell our products, our ability to sell our products and operating results will be harmed. Any negative changes in our relationship with our reseller partners, including the loss of a reseller or a significant reduction in business with a reseller, could adversely impact our sales in particular geographies, which could, in turn, negatively impact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 xml:space="preserve">Failure to effectively expand our sales and marketing capabilities could harm our ability to increase our base of learners and UB customers and achieve broader market acceptance.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ability to broaden our base of both consumer learners and UB customers, and achieve broader market acceptance of our marketplace platform, will depend to a significant extent on the ability of our sales and marketing organizations to work together to drive our sales pipeline and cultivate customer relationships. Our marketing efforts include the use of search engine optimization, paid search, email marketing, and television.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have invested in and plan to continue expanding our sales and marketing organizations, both domestically and internationally. Identifying, recruiting, training, and retaining talented sales and marketing personnel will require significant time, expense, and attention, and if we are unable to do so, or if the hired personnel are unable to achieve desired productivity levels in a reasonable period of time, or if our sales and marketing programs are not effective, our ability to broaden our customer base and achieve broader market acceptance of our platform could be harmed. In addition, the investments we make in our sales and marketing organizations will occur in advance of experiencing benefits from such investments, making it difficult to determine in a timely manner if we are efficiently allocating our resources in these areas.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If we are not able to maintain and enhance our brand, our reputation and business may suffer.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believe that maintaining and enhancing our reputation and brand recognition is critical to our ability to attract and retain learners, instructors, and UB customers, as well as commercial and strategic partners, and that the importance of our reputation and brand recognition will continue to increase as competition in the markets in which we operate continues to develop. Our success in this arena will depend on a range of factors, both within and beyond our control. Factors affecting our reputation and brand recognition that are within our control include our ability to: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market our platform effectively and efficiently;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maintain a useful, innovative, and reliable platform;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maintain a high satisfaction among learners, instructors, and UB customers;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provide a high quality and perceived value for our platform;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successfully differentiate our platform from competing offerings;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maintain a consistently high level of customer service; and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prevent any actual or perceived data security breach or incident or data loss, or misuse or perceived misuse of our platform.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Additionally, our reputation and brand recognition may be affected by factors that are beyond our control, such as: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actions of competitors or other third parties;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quality and quantity of, as well as the nature and subject matter of, content available from instructors on our platform;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positive or negative publicity, including with respect to events or activities attributed to us, our employees, instructors, or our commercial partners;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interruptions, delays, or attacks on our platform; and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litigation or legal developments.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Damage to our reputation and brand, from the factors listed above or otherwise, may reduce demand for our platform and have an adverse effect on our business, operating results and financial condition. Moreover, any attempts to rehabilitate our reputation and brand recognition may be costly and time-consuming, and there can be no assurance that any such efforts will ultimately be successful.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could face liability, or our reputation might be harmed, as a result of courses posted to our platform.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Instructors at times post courses and related materials to our platform that contain content owned by third parties, and we do not proactively review content for potential infringement of intellectual property rights. Although we maintain and enforce terms and policies requiring instructors to respect the intellectual property rights of others, they may not do so. As a result, we are subject to potential liability to third parties for the unauthorized duplication, distribution, or other use of this material. In addition, third parties have alleged, and in the future may allege, misappropriation, plagiarism, defamation, disparagement or similar claims related to content appearing on our platform. Any such claims could subject us to costly litigation, regardless of whether the claims have merit. Moreover, there can be no assurance that our responses to complaints by third-party content owners regarding intellectual property violations will be sufficient to protect us from adverse claims. Our various liability insurance coverages may not cover potential claims of this type adequately or at all, and we may be required to alter or cease our uses of such material, which may include removing course content or altering the functionality of our platform, or be required to pay monetary damages.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Where applicable, we rely on a variety of statutory and common law frameworks and defenses, including those provided by the Digital Millennium Copyright Act of 1998, the Communications Decency Act (the “CDA”), the fair-use doctrine in the United States and the E-Commerce Directive in the European Union (the “E.U.”). However, the availability, scope, and application of such frameworks, defenses, and statutes varies across the many jurisdictions in which we operate, and the applicable limitations on immunity, requirements to maintain immunity, and moderation efforts required in the many jurisdictions in which we operate may affect our ability to rely on these frameworks and defenses, or create uncertainty regarding liability for content posted to our platform.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Moreover, regulators in the United States, the E.U., and in other jurisdictions in which we operate may introduce new regulatory regimes or modify existing regulatory regimes, including in ways that increase potential liability for information or content available on or through our platform or the content moderation decisions we make with respect to our platform, or which impose additional obligations to monitor such information or content, which could increase our costs. For example, the E.U.’s Digital Services Act (the “DSA”), which imposes new content moderation obligations, notice and transparency requirements, advertising limitations, and other consumer protection requirements, became fully applicable in February 2024. Non-compliance with the DSA could result in fines of up to 6% of global turnover, and could potentially subject us to litigation, enforcement actions, or other claims. Additionally, E.U. jurisdictions have imposed, and may in the future impose, additional content moderation requirements beyond those established by the DSA. For example, the Irish Online Safety Code, which became effective in October 2024, introduces additional obligations on video-sharing platforms to restrict the spread of harmful video and associated content. Non-compliance with the Online Safety Code could result in fines of up to the greater of €20 million or 10% of annual turnover.</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Failure of our resellers or other commercial partners to use acceptable ethical business practices or comply with applicable laws could negatively impact our business.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certain jurisdictions, such as Japan, we rely on third-party resellers and other commercial partners to distribute and market our offerings. We expect these resellers and partners to operate in compliance with applicable laws, rules, and regulations, but we cannot control their conduct. If any of our resellers or partners violates applicable laws or implements business practices that are regarded as unethical, the distribution of our platform in those jurisdictions could be interrupted, usage of our platform could decline, our reputation could be damaged and we may be subject to liability. Any of these events could have a negative impact on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Our revenue, results of operations, and financial condition could be negatively affected by general economic conditions.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business is sensitive to trends in the general economy, which is unpredictable. Therefore, our operating results, to the extent they reflect changes in the broader economy, may be subject to significant fluctuations. Since online learning is generally dependent on discretionary spending, negative general economic or financial conditions or uncertainty regarding future economic or financial conditions could significantly reduce the overall amount that learners and organizations spend on, and the frequency of, online learning or result in delays to planned spending on online learning. Any or all of these factors could reduce the demand for our services, reducing our revenue and potentially increasing our need to make significant expenditures to continue to attract learners and UB customers to our platform. Additionally, adverse developments affecting the banking or financial services industries or the financial and capital markets, such as actual events or concerns involving liquidity, defaults or non-performance by financial institutions or transactional counterparties, could negatively affect our revenue, results of operations and financial condition.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Our business and operations could be materially and adversely affected by natural disasters, public health emergencies, political crises, or other catastrophic events.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business and operations could be materially and adversely affected by catastrophic events, such as earthquakes, floods, fires, telecommunications failures, power losses, break-ins, acts of terrorism, wars and other armed conflicts, political or geopolitical crises, inclement weather and public health emergencies. In particular, our corporate headquarters are located in San Francisco, California, an earthquake-sensitive area and one that has been increasingly vulnerable to wildfires, and damage to or total destruction of our executive offices resulting from earthquakes may not be covered in whole or in part by any insurance we may have. If catastrophic events were to cause damage to our properties or interrupt our operations, our results of operations would suffer. Global climate change may result in natural disasters, such as drought, wildfires, severe storms, flooding, and heat waves, occurring more frequently or with greater intensity. We may not be able to effectively adapt our operations to avoid disruptions arising from the occurrence of such events, and our business could be affected adversely as a result.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Our business could be harmed if we fail to manage our growth effectively.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growth we have experienced, and may continue to experience, in our business places significant demands on our operational infrastructure. The scalability and flexibility of our platform depends on the functionality of our technology and network infrastructure and our ability to handle increased traffic and demand for bandwidth. The growth in the number of learners and instructors using our platform and the amount of educational content available through our platform has increased the amount of data and requests that we process. Any problems with the transmission of increased data and requests could result in harm to our brand or reputation. Moreover, as our business grows, we will need to devote additional resources to improving our operational infrastructure and enhancing our scalability in order to maintain the performance of our platform. </w:t>
      </w:r>
    </w:p>
    <w:p>
      <w:pPr>
        <w:pStyle w:val="TextBody"/>
        <w:bidi w:val="0"/>
        <w:spacing w:lineRule="auto" w:line="288" w:before="120" w:after="283"/>
        <w:jc w:val="left"/>
        <w:rPr/>
      </w:pPr>
      <w:r>
        <w:rPr>
          <w:rFonts w:ascii="Arial;sans-serif" w:hAnsi="Arial;sans-serif"/>
          <w:b w:val="false"/>
          <w:color w:val="000000"/>
          <w:sz w:val="20"/>
        </w:rPr>
        <w:t>Our growth has placed, and will likely continue to place, a significant strain on our managerial, administrative, operational, financial, and other resources.</w:t>
      </w:r>
      <w:r>
        <w:rPr>
          <w:color w:val="000000"/>
          <w:shd w:fill="FFFFFF" w:val="clear"/>
        </w:rPr>
        <w:t xml:space="preserve"> </w:t>
      </w:r>
      <w:r>
        <w:rPr>
          <w:rFonts w:ascii="Arial;sans-serif" w:hAnsi="Arial;sans-serif"/>
          <w:b w:val="false"/>
          <w:color w:val="000000"/>
          <w:sz w:val="20"/>
          <w:shd w:fill="FFFFFF" w:val="clear"/>
        </w:rPr>
        <w:t>Future growth in our organization could place additional strain on our existing resources and processes, and we could experience systemic operating difficulties in managing our business,</w:t>
      </w:r>
      <w:r>
        <w:rPr>
          <w:color w:val="000000"/>
        </w:rPr>
        <w:t xml:space="preserve"> </w:t>
      </w:r>
      <w:r>
        <w:rPr>
          <w:rFonts w:ascii="Arial;sans-serif" w:hAnsi="Arial;sans-serif"/>
          <w:b w:val="false"/>
          <w:color w:val="000000"/>
          <w:sz w:val="20"/>
        </w:rPr>
        <w:t xml:space="preserve">which may negatively impact our gross profit or operating expenses.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Our future success depends on our ability to retain our senior management team and other highly skilled employees and to attract, retain, and motivate our qualified personnel.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depend on the continued services and performance of our senior management team, key technical employees, and other key personnel. Although we have entered into employment agreements with senior management team members, each of them may terminate their employment with us at any time or not be able to perform the services we require in the future. We do not maintain “key person” insurance for any of our executives or other employees. Similarly, third parties may attempt to encourage our senior management team or other key employees to leave for other employment. The loss of one or more of the members of our senior management team or other key personnel for any reason could disrupt our operations, create uncertainty among investors, adversely impact employee retention and morale and significantly harm our business. Some members of our senior leadership team have been with our company for a short period of time. For example, in March 2025, Hugo Sarrazin joined our company as President and Chief Executive Officer.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From time to time we have experienced, and may continue to experience, difficulty in hiring and retaining employees with the appropriate level of qualifications. The companies with which we compete for qualified employees may have greater resources than we have and may offer compensation packages that are perceived to be better than ours. We use restricted stock units and performance-based restricted stock units, among other things, to help attract and retain employees; however, if our stock price performs poorly, these equity incentives may not be sufficient to achieve these goals. Additionally, changes in our compensation structure, workforce reductions and other cost reduction efforts (including our ongoing operational efficiency initiatives and the restructuring plan announced in September 2024) may be negatively received by employees and result in attrition or recruiting difficulties.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fail to attract new employees or fail to retain and motivate our current employees, our business and future growth prospects could be adversely affected.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Acquisitions and other strategic investments may expose us to significant risks, any of which could materially and adversely affect our business, financial condition, and results of operations.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have in the past pursued, and may in the future pursue, acquisitions of, or strategic investments in, businesses, technologies, services and other assets that complement our business. For example, in 2021 we acquired CUX, Inc. (d/b/a CorpU) (“CorpU”), an online leadership development platform that we have rebranded as our UB Leadership Academy. We have limited experience as an organization with successfully executing and managing acquisitions and strategic investments. These kinds of transactions involve numerous risks, including the following: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difficulties in realizing the anticipated economic, operational and other benefits of the acquisition or strategic investment successfully or in a timely manner;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failure of businesses we acquire or invest in to achieve anticipated revenue, earnings, or cash flow;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diversion of management’s attention or other resources from our existing business;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any inability to maintain the key customers, business relationships, suppliers, and brand potential of businesses we acquire or invest in;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uncertainty of entry into businesses or geographies in which we have limited or no prior experience or in which competitors have stronger positions;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unanticipated or greater costs than expected associated with pursuing acquisitions or investments;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difficulties in, or costs associated with, any integration process, such as challenges associated with assigning or transferring acquired intellectual property or intellectual property licenses; integrating and auditing financial statements of acquired companies that have not historically prepared financial statements in accordance with generally accepted accounting principles in the United States (“GAAP”); and integrating the workforce of acquired companies and the potential loss of key employees of the acquired companies;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responsibility for the liabilities of acquired businesses, including those that were not disclosed to us or exceed our estimates, such as liabilities arising out of the failure to maintain effective privacy, data protection and cybersecurity controls, and liabilities arising out of the failure to comply with applicable laws and regulations, including tax laws;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inability to maintain our culture and values, ethical standards, controls, procedures, and policies;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asset write-offs and impairments of goodwill and intangible assets in connection with any acquisition or strategic investment, as well as any inability to accurately forecast such impacts.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may not succeed in addressing these or other risks in connection with any acquisitions or strategic investments we undertake, which could have a material adverse effect on our business, financial condition, and results of operations. Furthermore, we may have to pay cash, incur debt or issue equity or equity-linked securities to finance any acquisitions or investments, which could also adversely affect our financial condition or the trading price of our securities, and the sale of equity or equity-linked securities could result in dilution to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may need to raise additional funds to pursue our growth strategy or continue operations, and we may be unable to raise capital when needed or on acceptable terms.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From time to time, we may seek additional equity or debt financing to fund our growth, enhance our platform, respond to competitive pressures, or make acquisitions or other investments. Our business plans may change, general economic, financial or political conditions in our markets may deteriorate or other circumstances may arise, in each case that have a material adverse effect on our cash flows and the anticipated cash needs of our business. Any of these events or circumstances could result in significant additional funding needs, requiring us to raise additional capital. We cannot predict the timing or amount of any such capital requirements at this time. If financing is not available on satisfactory terms, or at all, we may be unable to expand our business at the rate desired and our results of operations may suffer.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operate internationally and we plan to continue expanding our international operations, which exposes us to risks inherent in international operations.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Managing a global organization requires significant resources and management attention. We currently maintain operations outside of the United States, including in Ireland, Turkey, India, Australia, and Mexico, and we plan to expand our international operations in the future.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generated 61% of our total revenue outside of North America during both the three months ended March 31, 2025 and 2024. Based on our instructor registration records, we estimate that a majority of our instructors are located outside the United States. Any further international expansion efforts that we may undertake may not be as successful as we expect or at all.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Additionally, conducting international operations subjects us to risks that we have not generally faced in the United States. These risks include: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cost and resources required to localize our services, which requires the translation of our websites into foreign languages and adaptation for local practices and regulatory requirements;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competition with local market participants who understand the local market better than we do or who have pre-existing relationships with our potential learners and UB customers in those markets;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greater reliance on third-party resellers and other commercial partners for the distribution and marketing of our offerings;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legal uncertainty regarding the operations of our platform and our liability for the content and services provided by our instructors, including as a result of evolving local laws or a lack of clear precedent of applicable law;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burdens of complying with a wide variety of foreign laws and legal standards;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lack of familiarity with and unexpected changes in foreign regulatory requirements;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adapting to variations in methods of payment from learners and UB customers;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difficulties in managing and staffing international operations;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fluctuations in currency exchange rates;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risks associated with foreign tax regimes, trade tariffs, foreign investment restrictions or requirements, or similar issues, which could negatively impact international adoption of our offerings;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potentially adverse tax consequences, including the complexities of foreign value added tax systems, digital services tax and restrictions on the repatriation of earnings;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increased financial accounting, reporting, and other regulatory burdens and complexities, as well as difficulties in implementing and maintaining adequate internal controls over the same;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political, social, and economic instability abroad, wars and other armed conflicts, terrorist attacks, and security concerns in general, including Russia’s invasion of Ukraine and the ongoing conflicts in the Middle East;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reduced or varied protection for intellectual property rights in some countries; and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higher telecommunications and internet service provider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Operating in international markets also requires significant management attention and financial resources. The investment and additional resources required to establish operations and manage growth in other countries may not produce desired levels of revenue or profitability.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strategic and other relationships with partners overseas may also subject us to additional regulatory scrutiny in the United States and other jurisdictions. Operating in international markets could also increase our business exposure to the effects of trade and economic sanctions regulations. See “—We are subject to governmental export and import controls and regulations that could impair our ability to compete in international markets and subject us to liability if we are not in full compliance with applicable laws.”</w:t>
      </w:r>
    </w:p>
    <w:p>
      <w:pPr>
        <w:pStyle w:val="TextBody"/>
        <w:bidi w:val="0"/>
        <w:spacing w:lineRule="auto" w:line="288" w:before="120" w:after="283"/>
        <w:jc w:val="left"/>
        <w:rPr/>
      </w:pPr>
      <w:r>
        <w:rPr>
          <w:rFonts w:ascii="Arial;sans-serif" w:hAnsi="Arial;sans-serif"/>
          <w:b w:val="false"/>
          <w:color w:val="000000"/>
          <w:sz w:val="20"/>
        </w:rPr>
        <w:t xml:space="preserve">Further, as we continue to expand internationally, we could also become subject to increased difficulties in collecting accounts receivable (including as a result of international sanctions or other trade restrictions affecting the geographies in which we or our learners or customers are present), repatriating money without adverse tax consequences, and risks relating to foreign currency exchange rate fluctuations. </w:t>
      </w:r>
      <w:r>
        <w:rPr>
          <w:rFonts w:ascii="Arial;sans-serif" w:hAnsi="Arial;sans-serif"/>
          <w:b w:val="false"/>
          <w:color w:val="000000"/>
          <w:sz w:val="20"/>
          <w:shd w:fill="FFFFFF" w:val="clear"/>
        </w:rPr>
        <w:t xml:space="preserve">We have not engaged in currency hedging activities to limit risk of exchange rate fluctuations, and while we may decide to do so in the future, the availability and effectiveness of these hedging transactions may be limited. Changes in exchange rates affect our costs and earnings, and may also affect the book value of our assets located outside the United States and the amount of our stockholders’ equity.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are subject to laws and regulations worldwide, and failure to comply with such laws and regulations could subject us to claims or otherwise adversely affect our business, financial condition and results of operations. </w:t>
      </w:r>
    </w:p>
    <w:p>
      <w:pPr>
        <w:pStyle w:val="TextBody"/>
        <w:bidi w:val="0"/>
        <w:spacing w:lineRule="auto" w:line="288" w:before="120" w:after="283"/>
        <w:jc w:val="left"/>
        <w:rPr/>
      </w:pPr>
      <w:r>
        <w:rPr>
          <w:rFonts w:ascii="Arial;sans-serif" w:hAnsi="Arial;sans-serif"/>
          <w:b w:val="false"/>
          <w:color w:val="000000"/>
          <w:sz w:val="20"/>
          <w:shd w:fill="FFFFFF" w:val="clear"/>
        </w:rPr>
        <w:t>We are subject to a variety of laws in the U.S. and abroad that affect our business. As a global platform with learners and instructors</w:t>
      </w:r>
      <w:r>
        <w:rPr>
          <w:color w:val="000000"/>
        </w:rPr>
        <w:t xml:space="preserve"> </w:t>
      </w:r>
      <w:r>
        <w:rPr>
          <w:rFonts w:ascii="Arial;sans-serif" w:hAnsi="Arial;sans-serif"/>
          <w:b w:val="false"/>
          <w:color w:val="000000"/>
          <w:sz w:val="20"/>
        </w:rPr>
        <w:t>in over 180 countries, w</w:t>
      </w:r>
      <w:r>
        <w:rPr>
          <w:rFonts w:ascii="Arial;sans-serif" w:hAnsi="Arial;sans-serif"/>
          <w:b w:val="false"/>
          <w:color w:val="000000"/>
          <w:sz w:val="20"/>
          <w:shd w:fill="FFFFFF" w:val="clear"/>
        </w:rPr>
        <w:t>e are subject to a wide range of laws and regulations regarding consumer protection, advertising, electronic marketing, privacy, data protection and cybersecurity, data localization requirements, online services, freedom of speech, labor, real estate, taxation, intellectual property ownership and infringement, export and national security, tariffs, anti-corruption and telecommunications, all of which are continuously evolving and developing.</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scope and interpretation of the laws that are or may be applicable to us are often uncertain and may be conflicting, particularly laws outside the U.S., and compliance with laws, regulations and similar requirements may be burdensome and expensive. Because these laws and regulations are subject to change over time, we must continue to dedicate resources to monitoring developments in the law and ensuring compliance. Laws and regulations may be inconsistent from jurisdiction to jurisdiction, and certain jurisdictions may impose more stringent regulatory requirements than the U.S., which may increase the cost of compliance and doing business and expose us to possible litigation, penalties, or fines. Any such costs, which may rise in the future as a result of changes in these laws and regulations or in their interpretation, could make our platform less attractive to learners, instructors, or enterprise customers or cause us to change or limit our ability to make available our platform. We have policies and procedures designed to ensure compliance with applicable laws and regulations, but we cannot assure you that we will not experience violations of such laws and regulations or our policies and procedures. Any such violations could subject us to investigations, sanctions, enforcement actions, disgorgement of profits, fines, damages, civil and criminal penalties, or injunctions. If any governmental sanctions are imposed, or if we do not prevail in any possible civil or criminal litigation, our business, operating results, and financial condition could be materially adversely affected. In addition, responding to any action will likely result in a significant diversion of management’s attention and resources and an increase in professional fees. Enforcement actions and sanctions could harm our business, operating results, and financial condition.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are subject to governmental export and import controls and regulations that could impair our ability to compete in international markets and subject us to liability if we are not in full compliance with applicable laws.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business activities are subject to various restrictions under U.S. export and similar laws and regulations, including trade and economic sanctions regulations. The U.S. export control and economic sanctions laws and regulations include restrictions or prohibitions on the sale of certain services to U.S. embargoed or sanctioned countries, governments, persons, and entities which in some cases might apply to our activities. In addition, various countries regulate the import of certain technology and have enacted or could enact laws that could limit our ability to provide learners access to our platform or could limit our learners’ ability to access or use our services in those countries.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Although we take precautions to prevent our platform from being provided in violation of such laws and regulations, our platform could nevertheless be provided inadvertently in violation of such laws. Complying with these laws and regulations could be particularly difficult because our products are widely available worldwide, in some cases, by providing only minimal information at registration. If we fail to comply with these laws and regulations, we and certain of our employees could be subject to civil or criminal penalties. We also may be adversely affected through penalties, reputational harm, loss of access to certain markets, or otherwise. In addition, various countries regulate the import and export of certain encryption and other technology, including import and export permitting and licensing requirements, and have enacted laws that could limit our ability to distribute our platform or could limit our learners’ ability to access our platform in those countries. Changes in our platform, or future changes in export and import regulations, may prevent our international learners or instructors from using our platform or, in some cases, prevent the export or import of our platform to certain countries, governments, or persons altogether. Any change in export or import regulations, economic sanctions, or related legislation or changes in the countries, governments, persons, or technologies targeted by such regulations, could result in decreased use of our platform.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Failure to comply with anti-bribery, anti-corruption, and anti-money laundering laws, and similar laws, could subject us to penalties and other adverse consequences.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are subject to the anti-bribery and anti-money laundering laws in the U.S. and other applicable jurisdictions.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sometimes engage third parties to sell our products and conduct our business abroad. We and our employees, agents, representatives, business partners, or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we do not explicitly authorize such activities. We cannot assure you that none of our employees and agents will take actions in violation of applicable law, for which we may be ultimately held responsible.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Any allegations or violations of applicable anti-bribery and anti-corruption laws and anti-money laundering laws could result in whistleblower complaints, sanctions, settlements, prosecution, enforcement actions, fines, damages, adverse media coverage, investigations, loss of export privileges, severe criminal or civil sanctions, or suspension or debarment from U.S. government contracts, all of which may have an adverse effect on our reputation, business, financial condition, results of operations, and prospects. Responding to any investigation or action will likely result in a materially significant diversion of management’s attention and resources and significant defense costs and other professional fees.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are from time to time involved in claims, lawsuits, government investigations, and other proceedings that could adversely affect our business, financial condition, and results of operations.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are involved in litigation matters from time to time, such as matters incidental to the ordinary course of our business, including intellectual property, commercial, employment, class action, whistleblower, accessibility, and other litigation and claims, and governmental and other regulatory investigations and proceedings. Such matters can be time-consuming, divert management’s attention and resources, cause us to incur significant expenses or liability, or require us to change our business practices. In addition, the expense of litigation and the timing of these expenses from period to period are difficult to estimate, subject to change, and could adversely affect our financial condition and results of operations. Because of the potential risks, expenses, and uncertainties of litigation, we may, from time to time, settle disputes, even where we have meritorious claims or defenses, by agreeing to settlement agreements. Any of the foregoing could adversely affect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jc w:val="left"/>
        <w:rPr>
          <w:rFonts w:ascii="Arial;sans-serif" w:hAnsi="Arial;sans-serif"/>
          <w:b/>
          <w:i/>
          <w:color w:val="000000"/>
          <w:sz w:val="20"/>
          <w:shd w:fill="FFFFFF" w:val="clear"/>
        </w:rPr>
      </w:pPr>
      <w:r>
        <w:rPr>
          <w:rFonts w:ascii="Arial;sans-serif" w:hAnsi="Arial;sans-serif"/>
          <w:b/>
          <w:i/>
          <w:color w:val="000000"/>
          <w:sz w:val="20"/>
          <w:shd w:fill="FFFFFF" w:val="clear"/>
        </w:rPr>
        <w:t>Our sales to government clients expose us to additional risks.</w:t>
      </w:r>
    </w:p>
    <w:p>
      <w:pPr>
        <w:pStyle w:val="TextBody"/>
        <w:bidi w:val="0"/>
        <w:spacing w:lineRule="auto" w:line="288" w:before="120" w:after="283"/>
        <w:jc w:val="left"/>
        <w:rPr/>
      </w:pPr>
      <w:r>
        <w:rPr>
          <w:rFonts w:ascii="Arial;sans-serif" w:hAnsi="Arial;sans-serif"/>
          <w:b w:val="false"/>
          <w:color w:val="000000"/>
          <w:sz w:val="20"/>
          <w:shd w:fill="FFFFFF" w:val="clear"/>
        </w:rPr>
        <w:t xml:space="preserve">We derive a portion of our revenue from sales to US federal, state and local governmental agencies, as well as foreign governments and agencies. Sales to government customers may be subject to lengthy and complex procurement processes, including technology and security assessments, budget approvals and competitive bidding requirements. Government demand for our offerings may be impacted by government shutdowns, public sector budgetary cycles, contracting requirements, and funding authorizations, with funding reductions or delays adversely affecting public sector demand for our products and subscriptions. Further, governmental entities may demand contract terms that differ from our standard arrangements and are less favorable </w:t>
      </w:r>
      <w:r>
        <w:rPr>
          <w:rFonts w:ascii="Arial;sans-serif" w:hAnsi="Arial;sans-serif"/>
          <w:b w:val="false"/>
          <w:color w:val="000000"/>
          <w:sz w:val="20"/>
        </w:rPr>
        <w:t>than terms agreed with private sector customers</w:t>
      </w:r>
      <w:r>
        <w:rPr>
          <w:rFonts w:ascii="Arial;sans-serif" w:hAnsi="Arial;sans-serif"/>
          <w:b w:val="false"/>
          <w:color w:val="000000"/>
          <w:sz w:val="20"/>
          <w:shd w:fill="FFFFFF" w:val="clear"/>
        </w:rPr>
        <w:t xml:space="preserve">, including terms that may allow a government to terminate without cause and provide for higher liability limits for certain losses. </w:t>
      </w:r>
    </w:p>
    <w:p>
      <w:pPr>
        <w:pStyle w:val="TextBody"/>
        <w:bidi w:val="0"/>
        <w:spacing w:lineRule="auto" w:line="288" w:before="120" w:after="283"/>
        <w:jc w:val="left"/>
        <w:rPr/>
      </w:pPr>
      <w:r>
        <w:rPr>
          <w:rFonts w:ascii="Arial;sans-serif" w:hAnsi="Arial;sans-serif"/>
          <w:b w:val="false"/>
          <w:color w:val="000000"/>
          <w:sz w:val="20"/>
          <w:shd w:fill="FFFFFF" w:val="clear"/>
        </w:rPr>
        <w:t xml:space="preserve">In addition, as a government contractor, we must comply with laws, regulations, and contractual provisions relating to the formation, administration, and performance of government contracts, which affect how we do business with government agencies. </w:t>
      </w:r>
      <w:r>
        <w:rPr>
          <w:rFonts w:ascii="Arial;sans-serif" w:hAnsi="Arial;sans-serif"/>
          <w:b w:val="false"/>
          <w:color w:val="000000"/>
          <w:sz w:val="20"/>
        </w:rPr>
        <w:t>Governmental entities may also be subject to a rapidly evolving regulatory framework that may impact their ability to use our platform and products.</w:t>
      </w:r>
      <w:r>
        <w:rPr>
          <w:color w:val="000000"/>
          <w:shd w:fill="FFFFFF" w:val="clear"/>
        </w:rPr>
        <w:t xml:space="preserve"> </w:t>
      </w:r>
      <w:r>
        <w:rPr>
          <w:rFonts w:ascii="Arial;sans-serif" w:hAnsi="Arial;sans-serif"/>
          <w:b w:val="false"/>
          <w:color w:val="000000"/>
          <w:sz w:val="20"/>
          <w:shd w:fill="FFFFFF" w:val="clear"/>
        </w:rPr>
        <w:t xml:space="preserve">As a result of actual or perceived noncompliance with these laws, regulations, or contractual provisions, or applicable executive orders, we may be subject to non-ordinary course audits and internal investigations, which may prove costly to our business, divert management time, or limit our ability to continue selling our products and services to our government customers. Any violation of government contracting laws and regulations or contract terms could result in the imposition of various civil and criminal penalties, which may include termination of contracts, forfeiture of profits, suspension of payments and fines, treble damages, and suspension from future government contracting. Also, engaging in sales activities to foreign governments introduces additional compliance risks specific to the U.S. Foreign Corrupt Practices Act, the U.K. Bribery Act, and other similar statutory requirements prohibiting bribery and corruption in the jurisdictions in which we operate. All these factors add further risk to business conducted with these customers.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Adherence to our values and our focus on long-term sustainability may negatively impact our short- or medium-term financial performance.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values motivate everything we do, and we accordingly intend to focus on the long-term sustainability of our business and platform. We may take actions that we believe will benefit our business and our ecosystem and, therefore, our stockholders over a period of time, even if those actions do not maximize short- or medium-term financial results. However, these longer-term benefits may not materialize within the timeframe we expect or at all. For example: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we may choose to prohibit certain content from our platform that we believe is inconsistent with our values even though we could benefit financially from the sale of that content;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we may choose to revise our policies in ways that we believe will be beneficial to our learners, instructors, and UB customers in the long term even though the changes may be perceived unfavorably among our existing learners, instructors, and customers; or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we may take actions, such as locating our servers in low-impact data centers, that reduce our environmental footprint even though these actions may be more costly than other alternatives.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80" w:after="283"/>
        <w:jc w:val="left"/>
        <w:rPr>
          <w:rFonts w:ascii="Arial;sans-serif" w:hAnsi="Arial;sans-serif"/>
          <w:b/>
          <w:i/>
          <w:color w:val="000000"/>
          <w:sz w:val="20"/>
          <w:shd w:fill="FFFFFF" w:val="clear"/>
        </w:rPr>
      </w:pPr>
      <w:r>
        <w:rPr>
          <w:rFonts w:ascii="Arial;sans-serif" w:hAnsi="Arial;sans-serif"/>
          <w:b/>
          <w:i/>
          <w:color w:val="000000"/>
          <w:sz w:val="20"/>
          <w:shd w:fill="FFFFFF" w:val="clear"/>
        </w:rPr>
        <w:t>Inadequate self-insurance accruals or insurance coverage for employee healthcare benefits could have an adverse effect on our business, financial results or financial condition.</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Beginning in 2023, we became self-insured for certain medical benefits, up to certain stop-loss limits. We accrue these costs based on known claims and estimates of incurred but not reported claims. Our actual liabilities may exceed our estimates of losses. We may also experience an unexpectedly large number of claims that result in costs or liabilities in excess of our projections, which could cause us to record additional expenses.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Risks related to technology, privacy, and cybersecurity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Changes in laws or regulations relating to privacy, data protection, or cybersecurity, including those relating to the protection or transfer of data relating to individuals, or any actual or perceived failure by us to comply with such laws and regulations or any other obligations, could adversely affect our business.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receive, transmit, store, and otherwise process personal information and other data relating to our learners, instructors, and other individuals, such as our employees. Numerous local, municipal, state, federal, and international laws and regulations address privacy, data protection, cybersecurity, and the collection, storage, use, disclosure, protection, and other processing of certain types of data. These laws, rules, and regulations evolve frequently and their scope may continually change, through new legislation, amendments to existing legislation, and changes in enforcement, and may be inconsistent from one jurisdiction to another.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For example, the E.U. General Data Protection Regulation (“GDPR”) has resulted and will continue to result in significantly greater compliance burdens and costs for companies like ours. The GDPR regulates our collection, control, sharing, use, disclosure, and other processing of personal data of individuals in the E.U. Actual or alleged failure to comply with the GDPR may result in fines of up to 20 million euros or up to 4% of the annual global revenue of the infringer, whichever is greater. It may also lead to civil litigation, with the risks of damages, injunctive relief, or regulatory orders adversely impacting our processing of personal data.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United Kingdom maintains a United Kingdom version of the GDPR (combining the GDPR and the United Kingdom Data Protection Act of 2018), referred to as the U.K. GDPR, which provides for fines of up to 17.5 million British pounds sterling or 4% of global turnover, whichever is greater. The relationship between the United Kingdom and the E.U. in relation to certain aspects of data protection law is subject to uncertainty. On June 28, 2021, the European Commission announced a decision of “adequacy” concluding that the United Kingdom ensures an equivalent level of data protection to the GDPR, generally permitting personal data transfers from the European Economic Area (the “EEA”) to the United Kingdom. This adequacy determination must, however, be renewed after four years and is subject to modification or revocation. The United Kingdom has introduced data protection legislation that, if adopted, would cause its data protection regime to deviate more significantly from the GDPR. We cannot fully predict how United Kingdom data protection laws or regulations may develop nor the effects of divergent laws and guidance. Changes with respect to any of these matters may lead to additional costs and increase our risk exposure.</w:t>
      </w:r>
    </w:p>
    <w:p>
      <w:pPr>
        <w:pStyle w:val="TextBody"/>
        <w:bidi w:val="0"/>
        <w:spacing w:lineRule="auto" w:line="288" w:before="120" w:after="283"/>
        <w:jc w:val="left"/>
        <w:rPr/>
      </w:pPr>
      <w:r>
        <w:rPr>
          <w:rFonts w:ascii="Arial;sans-serif" w:hAnsi="Arial;sans-serif"/>
          <w:b w:val="false"/>
          <w:color w:val="000000"/>
          <w:sz w:val="20"/>
        </w:rPr>
        <w:t>Additionally, we are or may become subject to laws, rules, and regulations regarding cross-border transfers of personal data, including transfers of personal data outside the EEA, Switzerland and the United Kingdom. Recent developments have created complexity and uncertainty regarding transfers of personal data from the EEA to the U.S. and other jurisdictions. In 2020, the Court of Justice of the European Union (the “CJEU”) invalidated the E.U.-U.S. Privacy Shield Framework (the “Privacy Shield”), under which personal data could be transferred from the EEA. The CJEU also noted that standard contractual clauses (approved by the European Commission as an adequate personal data transfer mechanism) may not necessarily be relied upon in all circumstances. In addition to other mechanisms, in limited circumstances we may rely on Privacy Shield certifications of third parties (for example, vendors and partners). The European Commission and the United Kingdom’s Information Commissioner’s Office have published new standard contractual clauses that are required to be implemented.</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Following issuance of a U.S. Executive Order, a new framework, the EU-U.S. Data Privacy Framework (“EU-U.S. DPF”) was created as a successor to the Privacy Shield. Following an adequacy decision issued by the European Commission on July 10, 2023, the DPF, along with a UK extension to the EU-U.S. DPF that allows the transfer of personal data from the UK to the U.S. (the “UK DPF Extension”), is available for companies as a lawful transfer mechanism for personal data transfers to the U.S. from the EEA and UK. The Swiss-U.S. Data Privacy Framework (“Swiss-U.S. DPF”) also has been established to serve as a lawful transfer mechanism for personal data transfers to the U.S. from Switzerland. We have self-certified to the EU-U.S. DPF, the UK DPF Extension, and the Swiss-U.S. DPF. The EU-U.S. DPF has been the subject of legal challenge, however, and more generally, these frameworks may be subject to legal challenges from privacy advocacy groups or others. Additionally, the European Commission's adequacy decision regarding the DPF provides that the DPF will be subject to future reviews and may be subject to suspension, amendment, repeal, or limitations in scope by the European Commission. These developments regarding cross-border data transfers have created uncertainty and increased the risk around our international operations and may require us to review and amend the legal mechanisms by which we make or receive personal data transfers to the U.S. and other jurisdictions. We may, among other things, be required to implement additional contractual and technical safeguards for any personal data transferred out of the EEA, Switzerland, the United Kingdom or other regions which may increase compliance costs, lead to increased regulatory scrutiny or liability, may require additional contractual negotiations, and may adversely impact our business, financial condition and operating results. </w:t>
      </w:r>
    </w:p>
    <w:p>
      <w:pPr>
        <w:pStyle w:val="TextBody"/>
        <w:bidi w:val="0"/>
        <w:spacing w:lineRule="auto" w:line="288" w:before="120" w:after="283"/>
        <w:jc w:val="left"/>
        <w:rPr/>
      </w:pPr>
      <w:r>
        <w:rPr>
          <w:rFonts w:ascii="Arial;sans-serif" w:hAnsi="Arial;sans-serif"/>
          <w:b w:val="false"/>
          <w:color w:val="000000"/>
          <w:sz w:val="20"/>
        </w:rPr>
        <w:t>The California Consumer Protection Act (“CCPA”), which went into effect on January 1, 2020, among other things, requires covered companies to provide specified disclosures to California consumers and affords such consumers the ability to opt out of certain types of data sharing and sales. The CCPA provides for civil penalties for violations, as well as a private right of action for certain data breaches. Additionally, in November 2020, California voters passed the California Privacy Rights and Enforcement Act of 2020 (the “CPRA”). As of January 1, 2023, the CPRA expanded the CCPA with additional requirements that may impact our business and establishes a regulatory agency dedicated to enforcing the law.</w:t>
      </w:r>
      <w:r>
        <w:rPr>
          <w:color w:val="000000"/>
        </w:rPr>
        <w:t xml:space="preserve"> </w:t>
      </w:r>
      <w:r>
        <w:rPr>
          <w:rFonts w:ascii="Arial;sans-serif" w:hAnsi="Arial;sans-serif"/>
          <w:b w:val="false"/>
          <w:color w:val="000000"/>
          <w:sz w:val="20"/>
        </w:rPr>
        <w:t xml:space="preserve">Several states in the U.S. have proposed or enacted their own privacy laws, many of which contain obligations similar to the CCPA and CPRA. Many of these similar state privacy laws have taken effect or will take effect in coming years, creating the potential for a patchwork of overlapping but different state laws and for a trend of increasingly stringent privacy legislation in the U.S., which could increase our potential liability and adversely affect our business, financial condition, and results of operations.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Outside of Europe, many other countries, including countries where we have operations or otherwise do business, have adopted or are considering adopting data protection legislation, including, for example, regimes adopted in Australia, India, and Mexico. Many of these data protection regimes are based upon principles underlying the GDPR or its predecessor, the E.U. Data Protection Directive, and provide for substantial obligations and penalties for non-compliance. In addition, the Personal Information Protection Law (the “PIPL”), went into effect in the People’s Republic of China (the “PRC”) on November 1, 2021. The PIPL shares similarities with the GDPR, including extraterritorial application, data minimization, data localization, and purpose limitation requirements, and obligations to provide certain notices and rights to PRC citizens. The PIPL allows for fines of up to 50 million renminbi or 5% of a covered company’s revenue in the prior year.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Aspects of the interpretation and enforcement of the CCPA, as amended by CPRA, and other evolving federal, state, and foreign laws and regulations relating to privacy and the collection, storing, sharing, use, disclosure, protection, and other processing of certain types of data are subject to varying enforcement and new and changing interpretations by courts, and may impose different or inconsistent obligations. These laws or regulations, particularly any new or modified laws or regulations, or changes to the interpretation or enforcement of laws or regulations, that require enhanced protection of certain data or new obligations, could greatly increase the cost of providing our platform, require significant changes to our data processing practices and other aspects of our operations, or prevent us from providing our platform in jurisdictions in which we currently operate and in which we may operate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jc w:val="left"/>
        <w:rPr/>
      </w:pPr>
      <w:r>
        <w:rPr>
          <w:rFonts w:ascii="Arial;sans-serif" w:hAnsi="Arial;sans-serif"/>
          <w:b w:val="false"/>
          <w:color w:val="000000"/>
          <w:sz w:val="20"/>
        </w:rPr>
        <w:t>Additionally, we have incurred, and may continue to incur, significant expenses in efforts to comply with privacy, data protection, and cybersecurity standards and protocols imposed by law, regulation, industry standards, or contractual obligations. We may be subject to investigation or enforcement actions by regulators if our statements, policies or practices relating to privacy, data protection, or cybersecurity are alleged to be deficient, lacking transparency, deceptive, unfair, or misrepresentative. We are also bound by contractual obligations related to our collection, use, disclosure, protection, and other processing of personal data and other types of data.</w:t>
      </w:r>
      <w:r>
        <w:rPr>
          <w:color w:val="000000"/>
        </w:rPr>
        <w:t xml:space="preserve"> </w:t>
      </w:r>
      <w:r>
        <w:rPr>
          <w:rFonts w:ascii="Arial;sans-serif" w:hAnsi="Arial;sans-serif"/>
          <w:b w:val="false"/>
          <w:color w:val="000000"/>
          <w:sz w:val="20"/>
        </w:rPr>
        <w:t xml:space="preserve">Our efforts to comply with such obligations may not be successful or may have other negative consequences. With laws, regulations, and other actual and asserted obligations relating to privacy, data protection, and cybersecurity imposing new and relatively burdensome obligations and with uncertainty over their interpretation and application, we may face challenges in addressing their requirements and making necessary changes to our policies and practices and may incur significant costs and expenses in efforts to do so. Despite our efforts, our interpretations of the law or our practices, policies, or platform or other services or offerings could be inconsistent with, or fail or be alleged to fail to meet all requirements of, such laws, regulations, or obligations. Any actual or perceived failure, or consequences associated with our efforts, to comply with applicable laws or regulations or any other obligations relating to privacy, data protection, cybersecurity, or data processing, or any compromise of security that results in unauthorized access to, or use or release of data relating to learners, instructors, or other individuals could damage our reputation, discourage new and existing learners, instructors, and UB customers from using our platform, and could result in investigations, or other proceedings by governmental agencies, private claims and litigation, and fines, penalties, and other liabilities, any of which could adversely affect our business, financial condition and operating results. Even if not subject to legal challenge, concerns relating to privacy, data protection, or cybersecurity, whether or not valid, may harm our reputation and brand adversely affect our business, financial condition, and operating results.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A cybersecurity attack or other security breach or incident could delay or interrupt service to our learners, instructors, and UB customers, harm our reputation or subject us to significant liability.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platform involves the processing of significant amounts of data relating to learners, instructors, and UB customers interacting with our platform, including personal data and personal information. Additionally, we collect and store certain sensitive and proprietary information, and personal information, in the operation of our business, including trade secrets, intellectual property, employee data, and other confidential data.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engage third-party service providers to store and otherwise process certain data, including sensitive and personal information. Our service providers have been, and in the future may be, the targets of cyberattacks, malicious software, phishing schemes, fraud, intentional and unintentional insider threats, and other risks to the confidentiality, security, integrity, and availability of their systems and the data they process for us. Our ability to monitor our service providers’ cybersecurity is limited, and third parties may be able to circumvent those security measures, resulting in the unauthorized access to, misuse, disclosure, loss, unavailability, destruction or other processing of data they process for us, including sensitive and personal information. There have been and may continue to be significant supply chain attacks, and we cannot guarantee that our or our third-party providers’ systems and networks have not been breached or that they do not contain exploitable defects or bugs that could result in a breach of or disruption to our systems and networks or the systems and networks of third parties that support us and our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While we have taken measures to protect our own proprietary and confidential information, as well as the personal data and confidential information that we otherwise process, and measures to protect our platform, we, our third-party service providers, other third parties on which we rely, and the networks and systems used in our business, including those of third-party service providers, have been subject to, and we, our service providers and our platform may in the future be subject to, cybersecurity attacks or other security breaches or incidents. Cybersecurity attacks may take the form of denial of service attacks, attacks using ransomware or other malware, or other attacks, and can come from insider threats as well as individual hackers, criminal groups, and state-sponsored organizations. These sources have used artificial intelligence and machine learning to launch more automated, targeted and sophisticated attacks against targets. They can also implement social engineering techniques to induce our employees, contractors, or customers to disclose passwords or other sensitive information or take other actions to gain access to data, and these social engineering attacks have become more sophisticated as attackers leverage artificial intelligence and “deepfake” technologies to craft increasingly convincing fraudulent communications and scenarios. Additionally, we and many other companies with whom we interact increasingly rely on automated systems and processes, which creates and heightens certain security threats. Further, we and our platform otherwise may be subject to security breaches and incidents resulting from employee or contractor error or malfeasance, including as a result of intentional or accidental misuse of authorized access to our systems. These and other threats may be heightened by geopolitical tensions and conflicts. We also may be more susceptible to cyberattacks and other security breaches and other security incidents while many of our employees work remotely, because we have less ability to implement, monitor, and enforce our information security and data protection policies.</w:t>
      </w:r>
    </w:p>
    <w:p>
      <w:pPr>
        <w:pStyle w:val="TextBody"/>
        <w:bidi w:val="0"/>
        <w:spacing w:lineRule="auto" w:line="288" w:before="120" w:after="283"/>
        <w:jc w:val="left"/>
        <w:rPr/>
      </w:pPr>
      <w:r>
        <w:rPr>
          <w:rFonts w:ascii="Arial;sans-serif" w:hAnsi="Arial;sans-serif"/>
          <w:b w:val="false"/>
          <w:color w:val="000000"/>
          <w:sz w:val="20"/>
        </w:rPr>
        <w:t>More generally, we cannot guarantee that applicable recovery systems, security and data encryption protocols, network protection mechanisms, and other procedures of ourselves or our third-party service providers, or other third parties on which we rely, are or will be adequate to prevent network and service interruption, system failure or loss, corruption, or unauthorized access to, or disclosure, acquisition, unavailability, destruction, or other processing of, data, including personal data and other sensitive information that we or they process or maintain. Moreover, our platform could be breached or disrupted if vulnerabilities in our platform are exploited by unauthorized third parties. Techniques used to obtain unauthorized access change frequently and the volumes of cybersecurity attacks and of security breaches and incidents generally are increasing.</w:t>
      </w:r>
      <w:r>
        <w:rPr>
          <w:color w:val="000000"/>
        </w:rPr>
        <w:t xml:space="preserve"> </w:t>
      </w:r>
      <w:r>
        <w:rPr>
          <w:rFonts w:ascii="Arial;sans-serif" w:hAnsi="Arial;sans-serif"/>
          <w:b w:val="false"/>
          <w:color w:val="000000"/>
          <w:sz w:val="20"/>
        </w:rPr>
        <w:t xml:space="preserve">We and our third-party service providers, and other third parties on which we rely, may be unable to implement adequate preventative measures or stop any attacks while they are occurring. A cybersecurity attack or security breach or incident could delay, disrupt or interrupt our platform and services and may deter learners, instructors, or organizations from using our platform, and we and our service providers may face difficulties or delays in identifying, remediating, and otherwise responding to any cybersecurity attack or other security breach or incident. In addition, any actual or perceived cybersecurity attack or security breach or incident could damage our reputation and brand, expose us to a risk of claims, litigation, regulatory investigations or other proceedings and possible fines, penalties, or other liability and require us to expend significant capital and other resources.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incur significant costs in an effort to detect and prevent security breaches and other security-related incidents, including costs associated with training our employees to identify and avoid potential security risks, and we expect our costs will increase as we make improvements to our systems and processes to prevent future breaches and incidents. Some jurisdictions have enacted laws requiring companies to notify individuals of data security breaches involving certain types of personal data. Any disclosures relating to an actual or perceived cybersecurity attack or other security breach or incident suffered by us or any of our third-party service providers, or other third parties on which we rely, could lead to negative publicity and any such disclosures, or any belief that a cybersecurity attack, or a security breach or incident, has impacted us, our platform, or our service providers, or other third parties on which we rely, may cause our learners, instructors, or UB customers to lose confidence in the security of our platform and the effectiveness of the cybersecurity measures we and our service providers utilize.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Further, any limitations of liability provisions in our customer and user agreements, contracts with third-party service providers, or other contracts may not be enforceable or adequate or otherwise protect us from any liabilities or damages with respect to any particular claim relating to a security breach or incident or other security-related matter. While our insurance policies include liability coverage for certain of these matters, subject to applicable deductibles, any cybersecurity attack or other security breach or other incident, could subject us to claims or damages that exceed our insurance coverage. Our insurance coverage might not be adequate for liabilities actually incurred relating to any security breach or incident, such insurance may not continue to be available to us in the future on economically reasonable terms, or at all, and insurers may deny us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We may not be able to successfully deploy artificial intelligence, machine learning, and other evolving technologies.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leverage generative artificial intelligence (“AI”), machine learning (“ML”), and other evolving technologies throughout our business, including to enhance our platform and offerings. For example, in October 2024, we announced the release of the Udemy AI Assistant, a natural-language chat interface designed to help learners better discover and engage with our content, as well as our AI Skills Mapping tool. We expect AI to become more important to our operations and future growth over time. However, we may not be able to realize the desired or anticipated benefits from our investments in, and use of, AI. We also may not be able to properly develop, implement, or market AI-related features. Our competitors or other third parties may also incorporate AI into their offerings more quickly or more successfully than us, which could impair our competitiveness and adversely affect our business, operating results, and growth prospects.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Additionally, our use of AI systems may subject us to legal liability, whether to private parties or regulatory authorities, as well as brand or reputational harm. If the outputs of our AI systems are, or are alleged to be, deficient, inaccurate, or biased, if such outputs or systems are, or are alleged to be, infringing or misappropriating others’ intellectual property rights or otherwise violating applicable laws or regulations, or if any of these had occurred, or were alleged to have occurred, previously, then our business, operating results, financial condition, and growth prospects could be adversely affected. Further, if our employees, contractors or other agents input inappropriate or confidential information into an AI system, our business data and operations could be compromised or otherwise disrupted.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legal and regulatory frameworks governing artificial intelligence continue to evolve rapidly. For example, the E.U. Artificial Intelligence Act (the “E.U. AI Act”) entered into force on August 1, 2024 and will mostly take full effect by 2026. The E.U. AI Act establishes a risk-based framework for the regulation of AI systems, and will require operators of AI systems to comply with various risk management, data governance, technical documentation, oversight, transparency, and other obligations, depending on the risk classification of the AI systems being used by such operator. Actual or alleged failures to comply with the E.U. AI Act may result in penalties of up to 35 million euros or up to 7% of an operator’s total worldwide annual turnover, whichever is greater. Various U.S. states, including California and Colorado, have also recently adopted laws and regulations applicable to the development and use of AI systems and outputs, and U.S. federal legislation addressing AI has also been introduced. Such laws and regulations will have a material impact on the adoption and use of AI systems. Compliance with these laws and regulations may affect our ability to deploy AI systems in our business or integrate AI features into our platform, require changes to our operations and processes, result in heightened compliance burdens and costs, or expose us to additional legal liabilities, any of which could negatively impact our business, financial condition, or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Interruptions or performance problems associated with our technology and infrastructure could adversely affect our business and results of operations. </w:t>
      </w:r>
    </w:p>
    <w:p>
      <w:pPr>
        <w:pStyle w:val="TextBody"/>
        <w:bidi w:val="0"/>
        <w:spacing w:lineRule="auto" w:line="288" w:before="120" w:after="283"/>
        <w:jc w:val="left"/>
        <w:rPr/>
      </w:pPr>
      <w:r>
        <w:rPr>
          <w:rFonts w:ascii="Arial;sans-serif" w:hAnsi="Arial;sans-serif"/>
          <w:b w:val="false"/>
          <w:color w:val="000000"/>
          <w:sz w:val="20"/>
        </w:rPr>
        <w:t>Our continued growth partially depends on the ability of learners and instructors to access our platform at any time. Our platform has encountered, and may in the future encounter, disruptions, outages,</w:t>
      </w:r>
      <w:r>
        <w:rPr>
          <w:color w:val="000000"/>
          <w:shd w:fill="FFFFFF" w:val="clear"/>
        </w:rPr>
        <w:t xml:space="preserve"> </w:t>
      </w:r>
      <w:r>
        <w:rPr>
          <w:rFonts w:ascii="Arial;sans-serif" w:hAnsi="Arial;sans-serif"/>
          <w:b w:val="false"/>
          <w:color w:val="000000"/>
          <w:sz w:val="20"/>
          <w:shd w:fill="FFFFFF" w:val="clear"/>
        </w:rPr>
        <w:t xml:space="preserve">and other performance problems due to a variety of factors, including infrastructure changes, introductions of new capabilities, human or technology errors, distributed denial of service attacks, or other security related incidents. In some instances, we may not be able to identify the cause or causes of these performance problems in a timely manner. It may become increasingly difficult to maintain and improve the performance of our platform as it grows and becomes more complex, and in the future we may be required to allocate significant resources to augment and update our technology and network infrastructure. If learners or instructors are unable to access our platform within a reasonable amount of time, or at all, our business will be harmed.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Applicable regulations that permit ISPs to limit internet consumption could harm our business.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current legislative and regulatory landscape regarding the regulation of the Internet and, in particular, Internet neutrality, in the United States is subject to uncertainty. In 2018, the Federal Communications Commission (the “FCC”) repealed its open internet rules, which prohibited internet service providers from charging content providers higher rates in order to deliver their content over certain “fast traffic” lanes. In response, California and several other U.S. states have implemented their own open internet or net neutrality rules, and in 2024, the FCC voted to reinstate, with certain modifications, its open internet rules. We cannot predict the outcome of any litigation or whether the FCC order or state initiatives regulating providers will be modified, overturned, or vacated by legal action, federal legislation, or the degree to which this repeal would adversely affect our business, if at all. Similarly, the EU requires equal access to internet content, but as part of its Digital Single Market initiative, the EU may impose network security and disability access requirements, which could increase our costs. Outside these jurisdictions, government regulation of the internet, including the idea of network neutrality, may be developing or non-existent. It is possible that governments of one or more foreign countries may seek to censor content available on our platform or may even attempt to block access to our platform. If we are restricted from operating in one or more countries, our ability to attract and retain learners, instructors, and customers may be adversely affected and we may not be able to grow our business as we anticipate.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rely on Amazon Web Services for a substantial portion of our platform services. Any disruption of, or interference with, our use of Amazon Web Services could negatively impact our business and operations. </w:t>
      </w:r>
    </w:p>
    <w:p>
      <w:pPr>
        <w:pStyle w:val="TextBody"/>
        <w:bidi w:val="0"/>
        <w:spacing w:lineRule="auto" w:line="288" w:before="120" w:after="283"/>
        <w:jc w:val="left"/>
        <w:rPr/>
      </w:pPr>
      <w:r>
        <w:rPr>
          <w:rFonts w:ascii="Arial;sans-serif" w:hAnsi="Arial;sans-serif"/>
          <w:b w:val="false"/>
          <w:color w:val="000000"/>
          <w:sz w:val="20"/>
        </w:rPr>
        <w:t xml:space="preserve">Amazon Web Services provides distributed computing infrastructure platforms for business operations, commonly referred to as “cloud” computing services. We currently run a significant portion of our platform’s computing on Amazon Web Services, and any significant disruption of, or interference with, our use of Amazon Web Services would negatively impact our operations and our business would be seriously harmed. If learners or instructors are unable to access our platform through Amazon Web Services or encounter difficulties in doing so, we may lose learners, instructors, and UB customers. </w:t>
      </w:r>
      <w:r>
        <w:rPr>
          <w:rFonts w:ascii="Arial;sans-serif" w:hAnsi="Arial;sans-serif"/>
          <w:b w:val="false"/>
          <w:color w:val="000000"/>
          <w:sz w:val="20"/>
          <w:shd w:fill="FFFFFF" w:val="clear"/>
        </w:rPr>
        <w:t xml:space="preserve">The level of service provided by Amazon Web Services may also impact the adoption and perception of our platform. If Amazon Web Services experiences interruptions in service regularly or for a prolonged basis, or other similar issues, our business would be seriously harmed. Hosting costs will also increase if and as our base of learners, instructors, and UB customers grows, and our business, financial condition, and results of operations may be adversely affected if we are unable to grow our revenue faster than the cost of using Amazon Web Services or similar providers increases.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Amazon Web Services may take actions beyond our control that could seriously harm our business, including discontinuing or limiting access to Amazon Web Services, increasing pricing terms, terminating our contract, establishing more favorable terms with one or more of our competitors, and modifying or interpreting its terms of service or other policies in a manner that impacts our ability to administer our business and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Our payments system depends on third-party providers and is subject to evolving laws and regulations.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rely on third-party payment processors to process payments made by learners and customers, and to instructors, on our platform. We have engaged third-party service providers to perform underlying card processing, currency exchange, identity verification, and fraud analysis services. If these service providers do not perform adequately or if our relationships with these service providers end for any reason, we will need to find an alternate payment processor and may not be able to secure similar terms or replace such payment processors in an acceptable time frame. Further, the software and services provided by our third-party payment processors may not meet our expectations, contain errors or vulnerabilities, be compromised, or experience outages. Any of these risks could cause us to lose our ability to accept online payments, make payments to our instructors or conduct other payment transactions, any of which could make our platform less convenient and attractive and harm our ability to attract and retain learners, instructors, and customers. In addition, if these providers increase the fees they charge us, our operating expenses could increase.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laws and regulations related to payments are complex and vary across different jurisdictions in the United States and globally. As a result, we are required to spend significant time and effort to comply with those laws and regulations. Any failure or claim of our failure to comply, or any failure by our third-party service providers to comply, could cost us substantial resources, result in liabilities, or force us to stop offering certain third-party payment services. In addition, as we expand our international operations, we will need to accommodate international payment method alternatives. As we expand the availability of new payment methods in the future, including internationally, we may become subject to additional regulations and compliance requirements.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Further, through our agreement with our third-party credit card processors, we are indirectly subject to payment card association operating rules and certification requirements, including the Payment Card Industry Data Security Standard. We are also subject to rules governing electronic funds transfers. Any change in these rules and requirements could make it difficult or impossible for us to comply. If we fail to comply with these rules or requirements, we may be subject to additional fines and higher transaction fees and lose our ability to accept credit and debit card payments from our learners and UB customers, process electronic funds transfers or facilitate other types of online payments, and our business and operating results could be adversely affected.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The use of our platform could be adversely affected if our mobile apps are not effective.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Learners have been increasingly accessing our platform on mobile devices through our Udemy and UB apps in recent years. The smaller screen size and reduced functionality associated with some mobile devices may make the use of our platform more difficult. Those accessing our platform primarily on mobile devices may not enroll in the courses offered on our platform as often as those accessing our platform through personal computers, which could result in less revenue for us. If we are not able to provide a rewarding experience on mobile devices, our ability to attract learners to our platform could be impaired, and consequently our business may suffer.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new mobile devices and mobile features are released, we may encounter problems in developing or supporting apps for them. In addition, supporting new devices and mobile device operating systems may require substantial time and resources.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success of our mobile apps could also be harmed by factors outside our control, including: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actions taken by mobile app distributors, including the Apple App Store and the Google Play Store;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unfavorable treatment received by our mobile apps, especially as compared to competing apps, such as the placement of our mobile apps in a mobile app download store;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increased costs in the distribution and use our mobile app; or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changes in mobile operating systems, such as iOS and Android, that degrade the functionality of our mobile website or mobile apps or that give preferential treatment to competitive offerings.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If our learners encounter difficulty accessing or using, or if they choose not to use, our mobile platform, our business and results of operations may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Internet search engines drive traffic to our platform and, if we fail to appear prominently in search results, our growth rate could decline and our business, financial condition and results of operations could be adversely affected.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Many learners find our website through internet search engines, like Google. A critical factor in attracting learners to our website is how prominently we are displayed in response to search queries. Search engine companies typically provide two types of search results: algorithmic listings and paid advertisements. We rely on both types of search results to attract visitors to our website. Algorithmic search result listings are determined and displayed in accordance with a set of proprietary formulas or algorithms developed by particular search engine companies. From time to time, these companies revise their algorithms without notice. In some instances, these modifications have caused our website to be listed less prominently in search results. In addition, search engine companies retain broad discretion to remove from search results any company whose marketing practices are deemed to be inconsistent with the search engine companies’ guidelines. If our marketing practices violate or appear to violate search engine company guidelines, we may, without warning, not appear in search result listings at all. If we are listed less prominently or fail to appear in search result listings for any reason, visits by prospective learners to our website would likely decline. We may not be able to replace this traffic and any attempt to do so may require us to increase our sales and marketing expenditures, which may not be offset by additional revenue and could adversely affect our operating results.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Risks related to our intellectual property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may be unable to adequately obtain, maintain, protect, and enforce our intellectual property and proprietary information, which could adversely affect our business, financial condition, and results of operations. </w:t>
      </w:r>
    </w:p>
    <w:p>
      <w:pPr>
        <w:pStyle w:val="TextBody"/>
        <w:bidi w:val="0"/>
        <w:spacing w:lineRule="auto" w:line="288" w:before="120" w:after="283"/>
        <w:jc w:val="left"/>
        <w:rPr/>
      </w:pPr>
      <w:r>
        <w:rPr>
          <w:rFonts w:ascii="Arial;sans-serif" w:hAnsi="Arial;sans-serif"/>
          <w:b w:val="false"/>
          <w:color w:val="000000"/>
          <w:sz w:val="20"/>
        </w:rPr>
        <w:t>Our business depends on our intellectual property, the protection of which is critical to our success. We rely on a combination of intellectual property rights, including patents,</w:t>
      </w:r>
      <w:r>
        <w:rPr>
          <w:color w:val="000000"/>
        </w:rPr>
        <w:t xml:space="preserve"> </w:t>
      </w:r>
      <w:r>
        <w:rPr>
          <w:rFonts w:ascii="Arial;sans-serif" w:hAnsi="Arial;sans-serif"/>
          <w:b w:val="false"/>
          <w:color w:val="000000"/>
          <w:sz w:val="20"/>
        </w:rPr>
        <w:t xml:space="preserve">trade secrets, trade dress, domain names, copyrights, and trademarks to protect our competitive advantage, all of which offer only limited protection. The steps we take to protect our intellectual property, including physical, operational, and managerial protections of our confidential information, contractual obligations of confidentiality, assignment agreements with our employees and contractors, license agreements, and the prosecution and maintenance of registrations and applications for registration of intellectual property rights, require significant resources and may be inadequate. We will not be able to protect our competitive advantage if we are unable to establish, protect, maintain, or enforce our rights or if we do not detect or are unable to address unauthorized use of our intellectual property. Some license provisions protecting against unauthorized use, copying, transfer, and disclosure of our proprietary information may be unenforceable under the laws of certain jurisdictions. </w:t>
      </w:r>
    </w:p>
    <w:p>
      <w:pPr>
        <w:pStyle w:val="TextBody"/>
        <w:bidi w:val="0"/>
        <w:spacing w:lineRule="auto" w:line="288" w:before="120" w:after="283"/>
        <w:jc w:val="left"/>
        <w:rPr/>
      </w:pPr>
      <w:r>
        <w:rPr>
          <w:rFonts w:ascii="Arial;sans-serif" w:hAnsi="Arial;sans-serif"/>
          <w:b w:val="false"/>
          <w:color w:val="000000"/>
          <w:sz w:val="20"/>
          <w:shd w:fill="FFFFFF" w:val="clear"/>
        </w:rPr>
        <w:t>We hold various registered trademarks in the United States and in fore</w:t>
      </w:r>
      <w:r>
        <w:rPr>
          <w:rFonts w:ascii="Arial;sans-serif" w:hAnsi="Arial;sans-serif"/>
          <w:b w:val="false"/>
          <w:color w:val="000000"/>
          <w:sz w:val="20"/>
        </w:rPr>
        <w:t xml:space="preserve">ign jurisdictions. We also have common law rights in some trademarks and pending trademark applications in the United States and foreign jurisdictions. In addition, we have registered domain names for websites that we use in our business, such as www.udemy.com and some other variations. Competitors may adopt service names or domain names similar to ours, thereby harming our ability to build brand identity and possibly leading to user confusion. In addition, our registered or unregistered trademarks or trade names could be declared generic, and there could be potential trade name or trademark infringement claims brought by owners of other trademarks that are similar to our trademarks. If our trademarks and trade names are not adequately protected, we may not be able to build and maintain name recognition in our markets of interest and our business may be adversely affected. Effective trademark protection may not be available or may not be sought in every country in which our products are made available, in every class of goods and services in which we operate, and contractual disputes may affect the use of marks governed by private contract. Additionally, we may from time to time be subject to opposition or similar proceedings with respect to applications for registrations of our intellectual property, including trademarks. While we aim to acquire adequate protection of our brand through trademark registrations in key markets, occasionally third parties may have already registered or otherwise acquired rights to identical or similar marks for services that also address our market. We rely on our brand and trademarks to identify our platform and to differentiate our platform and services from those of our competitors, and if we are unable to adequately protect our trademarks, third parties may use our brand names or trademarks similar to ours in a manner that may cause confusion in the market, which could decrease the value of our brand and adversely affect our business and competitive advantages.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hold a small number of issued patents and thus have a limited ability to exclude or prevent our competitors from implementing technology, methods, and processes similar to our own. Further, we may not timely or successfully apply for a patent or register its trademarks or otherwise secure rights in our intellectual property. We expect to continue to expand internationally and, in some foreign countries, the mechanisms to establish and enforce intellectual property rights may be inadequate to protect our technology, which could harm our business.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It is our policy to enter into confidentiality and invention assignment agreements with our employees and consultants and enter into confidentiality agreements with the parties with whom we have strategic relationships. The confidentiality agreements on which we rely to protect certain technologies may be breached, may not be adequate to protect our confidential information, trade secrets, and proprietary technologies, and may not provide an adequate remedy in the event of unauthorized use or disclosure of our confidential information, trade secrets, or proprietary technology. Further, these agreements do not prevent our competitors or others from independently developing products that are substantially equivalent or superior to ours.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intellectual property rights and the enforcement or defense of such rights may be affected by developments or uncertainty in laws and regulations relating to intellectual property rights. Moreover,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misappropriation, or other violation of our intellectual property or marketing of competing products in violation of our intellectual property rights generally.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Policing unauthorized use of our intellectual property and misappropriation of our technology and trade secrets is difficult and we may not always be aware of such unauthorized use or misappropriation. Despite our efforts to protect our intellectual property rights, unauthorized third parties may attempt to use, copy, or otherwise obtain and market or distribute our technology or otherwise develop services with the same or similar functionality as our platform. If our competitors infringe, misappropriate, or otherwise violate our intellectual property rights and we are not able to enforce our rights, or if our competitors are able to develop a platform with the same or similar functionality as ours without infringing our intellectual property, our competitive advantage and results of operations could be harmed. Litigation brought to protect and enforce our intellectual property rights could be costly, time consuming, and distracting to management and could result in the impairment or loss of portions of our intellectual property. As a result, we may be aware of infringement by our competitors but may choose not to bring litigation to protect our intellectual property rights due to the cost, time, and distraction of bringing such litigation. Furthermore, if we do decide to bring litigation, our efforts to enforce our intellectual property rights may be met with defenses, counterclaims, and countersuits challenging or opposing our right to use and otherwise exploit particular intellectual property, services, and technology or the enforceability of our intellectual property rights. Any failure to protect our proprietary technology against unauthorized copying or use, as well as any costly litigation or diversion of our management’s attention and resources, could delay further sales or the implementation of our products, impair the functionality of our platform, prevent or delay introductions of new or enhanced products or features, result in us substituting inferior or more costly technologies into our platform, or injure our reputation. Furthermore, many of our current and potential competitors may have the ability to dedicate substantially greater resources to developing and protecting their technology or intellectual property rights than we do.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Intellectual property litigation, including litigation related to content available on our platform, could result in significant costs and adversely affect our business, financial condition, results of operations, and reputation.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Companies in the technology industry are frequently subject to litigation based on allegations of infringement or other violations of intellectual property rights. We periodically receive notices that claim we have infringed, misappropriated, or misused other parties’ intellectual property rights, including with respect to content made available on our platform by instructors and other third parties. As we gain greater public recognition, we may face a higher risk of being the subject of intellectual property claims. Any intellectual property claims against us, with or without merit, could be time consuming and expensive to settle or litigate and could divert the attention of our management. Some of our competitors have extensive portfolios of issued patents. Many potential litigants, including some of our competitors and patent holding companies, have the ability to dedicate substantial resources to enforcing their intellectual property rights. Litigation regarding intellectual property rights is inherently uncertain due to the complex issues involved, and we may not be successful in defending ourselves in such matters. Furthermore, we may not qualify for the safe harbors established by laws in the United States and other countries protecting online service providers from claims related to content posted by users, or those laws could change in a manner making it difficult or impossible to qualify for such protection, increasing our exposure. While our terms and policies require instructors to respect the intellectual property rights of others, we have limited ability to influence the behavior of third parties, and there can be no assurance that these terms and policies will be sufficient to dissuade or prevent infringing activity by third parties on our platform. For more information, see “—Risks related to our business and operations—We could face liability, or our reputation might be harmed, as a result of courses posted to our platform.”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Any claims successfully brought against us could subject us to significant liability for damages and we may be required to stop using technology or other intellectual property alleged to be in violation of a third party’s rights. We also might be required to seek a license for third-party intellectual property. Even if a license is available, we could be required to pay significant royalties or submit to unreasonable terms, which would increase our operating expenses. We may also be required to develop alternative non-infringing technology, which could require significant time and expense. If we cannot license or develop technology for any allegedly infringing aspect of our business, we would be forced to limit our service and may be unable to compete effectively. Any of these results could harm our business.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Our platform contains third-party open source software components, and failure to comply with the terms of the underlying open source software licenses could restrict our ability to provide our platform.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use open source software in our platform and expect to continue to use open source software in the future. In addition, we contribute software source code to open source projects under open source licenses or release internal software projects under open source licenses and anticipate continuing to do so in the future. Additionally, under some open source licenses, if we combine our proprietary software with certain open source software in a certain manner, certain proprietary software (including our own software) or other intellectual property rights could become subject to obligations to be disclosed in source code form and licensed, including for the purpose of enabling further modification and distribution, and at no charge or for only a nominal fee. Third parties may also seek to enforce the terms of the applicable open source license through litigation which, if successful, could subject us to liability and require us to make our proprietary software source code available under an open source license, seek to purchase a license (which, if available, could be costly), and cease offering the implicated products or services unless and until we can re-engineer them to avoid infringement. This re-engineering process could require significant additional research and development resources, and we may not be able to complete it successfully. Many of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While we try to insulate our proprietary code from the effects of such open source license provisions, we cannot guarantee that we will be successful, that all open source software is reviewed prior to use in our products, that our developers have not incorporated open source software into our products in potentially disruptive ways, or that they will not do so in the future. In addition to risks related to open source license requirements, use of certain open source software may pose greater risks than use of third-party commercial software, since open source licensors generally do not provide warranties or controls on the origin of software. Any of these risks could be difficult to eliminate or manage, and, if not addressed, could adversely affect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Risks related to financial reporting, taxation, and operations as a public company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lead to a decline in the market price of our common stock. </w:t>
      </w:r>
    </w:p>
    <w:p>
      <w:pPr>
        <w:pStyle w:val="TextBody"/>
        <w:bidi w:val="0"/>
        <w:spacing w:lineRule="auto" w:line="288" w:before="120" w:after="283"/>
        <w:jc w:val="left"/>
        <w:rPr/>
      </w:pPr>
      <w:r>
        <w:rPr>
          <w:rFonts w:ascii="Arial;sans-serif" w:hAnsi="Arial;sans-serif"/>
          <w:b w:val="false"/>
          <w:color w:val="000000"/>
          <w:sz w:val="20"/>
        </w:rPr>
        <w:t xml:space="preserve">As a public company, we are required to comply with the requirements of the </w:t>
      </w:r>
      <w:r>
        <w:rPr>
          <w:rFonts w:ascii="Arial;sans-serif" w:hAnsi="Arial;sans-serif"/>
          <w:b w:val="false"/>
          <w:color w:val="000000"/>
          <w:sz w:val="20"/>
          <w:shd w:fill="FFFFFF" w:val="clear"/>
        </w:rPr>
        <w:t>Securities Exchange Act of 1934, as amended (the “Exchange Act”), the Sarbanes-Oxley Act of 2002 (the “Sarbanes-Oxley Act”), and the rules and regulations of Nasdaq.</w:t>
      </w:r>
      <w:r>
        <w:rPr>
          <w:color w:val="000000"/>
        </w:rPr>
        <w:t xml:space="preserve"> </w:t>
      </w:r>
      <w:r>
        <w:rPr>
          <w:rFonts w:ascii="Arial;sans-serif" w:hAnsi="Arial;sans-serif"/>
          <w:b w:val="false"/>
          <w:color w:val="000000"/>
          <w:sz w:val="20"/>
        </w:rPr>
        <w:t xml:space="preserve">The Sarbanes-Oxley Act, among other things,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 </w:t>
      </w:r>
    </w:p>
    <w:p>
      <w:pPr>
        <w:pStyle w:val="TextBody"/>
        <w:bidi w:val="0"/>
        <w:spacing w:lineRule="auto" w:line="288" w:before="120" w:after="283"/>
        <w:jc w:val="left"/>
        <w:rPr/>
      </w:pPr>
      <w:r>
        <w:rPr>
          <w:rFonts w:ascii="Arial;sans-serif" w:hAnsi="Arial;sans-serif"/>
          <w:b w:val="false"/>
          <w:color w:val="000000"/>
          <w:sz w:val="20"/>
        </w:rPr>
        <w:t xml:space="preserve">Under the Sarbanes-Oxley Act, we are required to make a formal assessment of the effectiveness of our internal control over financial reporting. The cost of our compliance with Section 404 will continue to divert resources and take significant time and effort. </w:t>
      </w:r>
      <w:r>
        <w:rPr>
          <w:rFonts w:ascii="Arial;sans-serif" w:hAnsi="Arial;sans-serif"/>
          <w:b w:val="false"/>
          <w:color w:val="000000"/>
          <w:sz w:val="20"/>
          <w:shd w:fill="FFFFFF" w:val="clear"/>
        </w:rPr>
        <w:t xml:space="preserve">In addition, if we are unable to continue to meet these requirements, we may not be able to remain listed on </w:t>
      </w:r>
      <w:r>
        <w:rPr>
          <w:rFonts w:ascii="Arial;sans-serif" w:hAnsi="Arial;sans-serif"/>
          <w:b w:val="false"/>
          <w:color w:val="000000"/>
          <w:sz w:val="20"/>
        </w:rPr>
        <w:t>Nasdaq</w:t>
      </w:r>
      <w:r>
        <w:rPr>
          <w:rFonts w:ascii="Arial;sans-serif" w:hAnsi="Arial;sans-serif"/>
          <w:b w:val="false"/>
          <w:color w:val="000000"/>
          <w:sz w:val="20"/>
          <w:shd w:fill="FFFFFF" w:val="clear"/>
        </w:rPr>
        <w:t>.</w:t>
      </w:r>
      <w:r>
        <w:rPr>
          <w:color w:val="000000"/>
        </w:rPr>
        <w:t xml:space="preserve"> </w:t>
      </w:r>
      <w:r>
        <w:rPr>
          <w:rFonts w:ascii="Arial;sans-serif" w:hAnsi="Arial;sans-serif"/>
          <w:b w:val="false"/>
          <w:color w:val="000000"/>
          <w:sz w:val="20"/>
          <w:shd w:fill="FFFFFF" w:val="clear"/>
        </w:rPr>
        <w:t xml:space="preserve">Our current controls and any new controls that we develop may become inadequate for a variety of reasons, including changes in conditions in our business. </w:t>
      </w:r>
      <w:r>
        <w:rPr>
          <w:rFonts w:ascii="Arial;sans-serif" w:hAnsi="Arial;sans-serif"/>
          <w:b w:val="false"/>
          <w:color w:val="000000"/>
          <w:sz w:val="20"/>
        </w:rPr>
        <w:t>Moreover, our testing, or the subsequent testing by our independent registered public accounting firm, may reveal additional deficiencies in our internal control over financial reporting that are deemed to be material weaknesses. Our disclosure controls and procedures or our internal control over financial reporting are not expected to prevent all errors and all fraud. A control system, no matter how well designed and operated, can provide only reasonable, not absolute, assurance that the objectives of the control system are met. Due to inherent limitations in a cost-effective control system, misstatements due to error or fraud may occur and not be detected.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Nasdaq, the SEC, and other regulatory authorities.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Operating as a public company requires us to incur substantial costs and administrative burdens, which could have an adverse effect on our business, financial condition and results of operations.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a public company, we are subject to additional reporting and other obligations, such as the reporting requirements of the Exchange Act, the applicable requirements of the Sarbanes-Oxley Act, and the applicable listing standards of Nasdaq. Compliance with these rules and regulations results in legal and financial compliance costs and places demands on our systems. Our loss of “emerging growth company” status has required additional attention from management and will result in increased costs to us, which could include higher legal fees, accounting fees and fees associated with investor relations activities, among others. As a public company, we may also be subject to stockholder activism, which can lead to additional substantial costs, distract management, and impact the manner in which we operate our business in ways we cannot currently anticipate. Our business and financial condition will become more visible as a result of our reporting obligations as a public company, which may result in threatened or actual litigation, including by competitors.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Many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Unanticipated changes in our effective tax rate and additional tax liabilities, including as a result of our international operations or implementation of new tax rules, could harm our future results of operations.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are subject to income taxes in the United States and certain foreign jurisdictions. Our effective tax rate could be subject to volatility or adversely affected by several factors, many of which are outside of our control, including changes in the mix of earnings and losses in countries with differing statutory tax rates, changes in tax laws, rates, treaties, and regulations or the interpretation of the same, changes to the financial accounting rules for income taxes, the outcome of current and future tax audits, examinations or administrative appeals, certain non-deductible expenses and the valuation of deferred tax assets and liabilities. For example, the United States enacted the Inflation Reduction Act, which imposes a 15% alternative minimum tax on adjusted financial statement income. The Organization for Economic Cooperation and Development proposed a 15% global minimum tax, which has been adopted by the European Union effective from January 1, 2024. Several other jurisdictions have adopted or are in the process of adopting laws to implement this initiative. Increases in our effective tax rate would reduce profitability or increase losses. Changes in tax and trade laws, treaties, or regulations, or their interpretation or enforcement, have become more unpredictable and may become more stringent, which could have a material adverse effect on our tax position. We made significant judgments and assumptions in the interpretation of new laws and in our calculations reflected in our financial statements.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we are subject to complex transfer pricing regulations administered by taxing authorities in various jurisdictions. We believe that we operate in compliance with applicable transfer pricing laws, but our transfer pricing procedures are not binding on applicable tax authorities. If such tax authorities were to successfully challenge our transfer pricing procedures, they could require us to adjust our transfer prices, which could result in a higher overall tax liability to us and possibly interest and penalties.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Further, we are subject to examination by tax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We believe our income, employment, and transactional tax liabilities are reasonably estimated and accounted for in accordance with applicable laws and principles, but an adverse resolution of one or more uncertain tax positions in any period could have a material impact on the results of operations for that period.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Taxing authorities may successfully assert that we have not properly collected or remitted, or in the future should collect or remit, sales and use, gross receipts, value added, or similar taxes, or employment, payroll, or withholding taxes, and may successfully impose additional obligations on us, and any such assessments, obligations, or inaccuracies could adversely affect our business, financial condition, and results of operations.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application of non-income, or indirect, taxes, such as sales and use tax, value-added tax, goods and services tax, business tax, and gross receipt tax, to businesses like ours is a complex and evolving issue.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In addition, we do not collect and remit indirect taxes in all jurisdictions in which we operate on the basis that such indirect taxes are not applicable to us. Certain jurisdictions in which we do not collect and remit such taxes may assert that such taxes are applicable, which could result in substantial tax liabilities, including taxes on past sales, as well as penalties and interest, could discourage learners, instructors, or organizations from using our platform, could increase the cost for consumers using our platform, or could otherwise harm our business, financial condition, and results of operations.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Additionally, one or more states, localities, or other taxing jurisdictions may seek to impose additional reporting, record-keeping, or indirect tax collection obligations on businesses like ours. Requiring tax reporting or collection could decrease learner or instructor activity, which would harm our business, and could require us to incur substantial costs in order to comply, including costs associated with tax calculation, collection, and remittance and audit requirements, which could make our offerings less attractive and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Also, tax rules of certain countries, including the United States, generally require payors to report payments to unrelated parties to the applicable taxing authority and to withhold a percentage of certain amounts and remit such amounts to the applicable taxing authority. Failure to comply with such reporting and withholding obligations with respect to payments we make to our instructors could result in the imposition of liabilities for the under withheld amounts, fines, and penalties. In addition, a tax authority could assert that we should be withholding employment or other taxes from payments to instructors. Due to our large number of instructors and the amounts paid to each, process failures with respect to these reporting obligations could result in financial liability and other consequences to us if we were unable to remedy such failures in a timely manner.</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As a result of these and other factors, the ultimate amount of tax obligations owed may differ from the amounts recorded in our financial statements and any such difference may adversely affect our results of operations in future periods in which we change our estimates of our tax obligations or in which the ultimate tax outcome is determined.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Our ability to use our net operating loss carryforwards and certain other tax attributes may be limited. </w:t>
      </w:r>
    </w:p>
    <w:p>
      <w:pPr>
        <w:pStyle w:val="TextBody"/>
        <w:bidi w:val="0"/>
        <w:spacing w:lineRule="auto" w:line="288" w:before="120" w:after="283"/>
        <w:jc w:val="left"/>
        <w:rPr/>
      </w:pPr>
      <w:r>
        <w:rPr>
          <w:rFonts w:ascii="Arial;sans-serif" w:hAnsi="Arial;sans-serif"/>
          <w:b w:val="false"/>
          <w:color w:val="000000"/>
          <w:sz w:val="20"/>
        </w:rPr>
        <w:t>W</w:t>
      </w:r>
      <w:r>
        <w:rPr>
          <w:rFonts w:ascii="Arial;sans-serif" w:hAnsi="Arial;sans-serif"/>
          <w:b w:val="false"/>
          <w:color w:val="000000"/>
          <w:sz w:val="20"/>
          <w:shd w:fill="FFFFFF" w:val="clear"/>
        </w:rPr>
        <w:t>e have incurred net operating losses (“NOLs”) since our inception, and we expect to continue to incur net losses in the near future.</w:t>
      </w:r>
      <w:r>
        <w:rPr>
          <w:color w:val="000000"/>
        </w:rPr>
        <w:t xml:space="preserve"> </w:t>
      </w:r>
      <w:r>
        <w:rPr>
          <w:rFonts w:ascii="Arial;sans-serif" w:hAnsi="Arial;sans-serif"/>
          <w:b w:val="false"/>
          <w:color w:val="000000"/>
          <w:sz w:val="20"/>
        </w:rPr>
        <w:t xml:space="preserve">As such, there is a risk that our existing NOLs could expire unused and be unavailable to offset future income tax liabilities if we do not achieve profitability. This may require us to pay federal income taxes in future years even if our NOLs were otherwise sufficient to offset our federal taxable income in such years. There is also a risk that due to regulatory and economic changes, such as suspensions on the use of NOLs, or other unforeseen reasons, our existing NOLs could expire or otherwise be unavailable to offset future income tax liabilities. Similar or different limitations may apply under state laws. We have recorded a full valuation allowance related to our NOLs and other deferred tax assets due to the uncertainty of the realization of the future benefits of these assets. If our NOLs and other tax attributes expire before utilization or are subject to limitations, our business and financial results could be harmed.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under Section 382 of the Internal Revenue Code of 1986, as amended, if a corporation undergoes an “ownership change,” the corporation’s ability to use its pre-change NOLs and federal tax credit carryforwards to offset its post-change taxable income, or reduce its federal income tax liability, may be limited. In general, an “ownership change” occurs when there is a cumulative change in our equity ownership by “5 percent shareholders” that exceeds 50 percentage points over a rolling three-year period. Certain of our gross U.S. federal NOLs are subject to this limitation as a result of these ownership changes, and if it is determined that we have experienced additional ownership changes, our ability to use our NOLs and federal tax credit carryforwards to reduce future taxable income and tax liabilities may be further limited. Similar limitations may apply under state tax laws. In addition, in June 2024, California enacted a temporary suspension on the use of state NOLs in the taxable years 2024, 2025 and 2026, which would adversely affect us if we earn taxable income in the impacted taxable years. Other state tax limitations may also apply.</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Our results of operations, which we report in U.S. dollars, could be adversely affected if currency exchange rates fluctuate substantially in the future. </w:t>
      </w:r>
    </w:p>
    <w:p>
      <w:pPr>
        <w:pStyle w:val="TextBody"/>
        <w:bidi w:val="0"/>
        <w:spacing w:lineRule="auto" w:line="288" w:before="120" w:after="283"/>
        <w:jc w:val="left"/>
        <w:rPr/>
      </w:pPr>
      <w:r>
        <w:rPr>
          <w:rFonts w:ascii="Arial;sans-serif" w:hAnsi="Arial;sans-serif"/>
          <w:b w:val="false"/>
          <w:color w:val="000000"/>
          <w:sz w:val="20"/>
          <w:shd w:fill="FFFFFF" w:val="clear"/>
        </w:rPr>
        <w:t xml:space="preserve">We conduct our business across more </w:t>
      </w:r>
      <w:r>
        <w:rPr>
          <w:rFonts w:ascii="Arial;sans-serif" w:hAnsi="Arial;sans-serif"/>
          <w:b w:val="false"/>
          <w:color w:val="000000"/>
          <w:sz w:val="20"/>
        </w:rPr>
        <w:t>than 180 countries a</w:t>
      </w:r>
      <w:r>
        <w:rPr>
          <w:rFonts w:ascii="Arial;sans-serif" w:hAnsi="Arial;sans-serif"/>
          <w:b w:val="false"/>
          <w:color w:val="000000"/>
          <w:sz w:val="20"/>
          <w:shd w:fill="FFFFFF" w:val="clear"/>
        </w:rPr>
        <w:t>round the world. As we continue to expand our international operations, we will become more exposed to the effects of fluctuations in currency exchange rates. This exposure is the result of selli</w:t>
      </w:r>
      <w:r>
        <w:rPr>
          <w:rFonts w:ascii="Arial;sans-serif" w:hAnsi="Arial;sans-serif"/>
          <w:b w:val="false"/>
          <w:color w:val="000000"/>
          <w:sz w:val="20"/>
        </w:rPr>
        <w:t xml:space="preserve">ng in multiple currencies and operating in foreign countries where the functional currency is the local currency. During the three months ended March 31, 2025, 27% of our sales were denominated in currencies other than U.S. dollars, including euros, Indian rupees, British pounds sterling, Brazilian reais, and Japanese yen. Similarly, we incur expenses in multiple currencies. </w:t>
      </w:r>
      <w:r>
        <w:rPr>
          <w:rFonts w:ascii="Arial;sans-serif" w:hAnsi="Arial;sans-serif"/>
          <w:b w:val="false"/>
          <w:color w:val="000000"/>
          <w:sz w:val="20"/>
          <w:shd w:fill="FFFFFF" w:val="clear"/>
        </w:rPr>
        <w:t>As a result, fluctuations in the value of the U.S. dollar against these foreign currencies may result in negative impacts to our revenue, costs and profit margins.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w:t>
      </w:r>
      <w:r>
        <w:rPr>
          <w:color w:val="000000"/>
        </w:rPr>
        <w:t xml:space="preserve"> </w:t>
      </w:r>
      <w:r>
        <w:rPr>
          <w:rFonts w:ascii="Arial;sans-serif" w:hAnsi="Arial;sans-serif"/>
          <w:b w:val="false"/>
          <w:color w:val="000000"/>
          <w:sz w:val="20"/>
        </w:rPr>
        <w:t>operations. We do not currently maintain a program to hedge exposures to non-U.S. dollar currencies.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We could be adversely impacted by the effects of inflation.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Certain of our key markets, including the United States, are experiencing historically high rates of inflation, resulting from several macroeconomic and geopolitical factors, including supply chain constraints and rising oil and natural gas prices. Our operating costs have increased and may continue to increase due to rising inflation and as a result we may be required to take measures to respond to the impact of inflation. Among other things, we could be required to change our pricing model to offset inflationary pressures on our operating costs, but doing so could adversely affect customer acquisition and retention, negatively impacting our long-term growth, and could impair our competitive position if our competitors choose to absorb the cost of inflation. Alternatively, if we choose to absorb the cost of inflation to prioritize growth, our financial condition and results of operations may be negatively impacted. Moreover, our instructors may independently make pricing decisions with respect to the courses they offer on our platform as a result of inflationary pressures, and any price increase could negatively impact the attractiveness of our marketplace to learners. Inflation has also contributed to higher interest rates, which may make it more difficult for us to raise capital on acceptable terms, should we choose to pursue additional financing in the future.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any case, there can be no assurance that any measures we take to mitigate or address the impact of inflation will be effective. Even if such mitigatory measures are effective, there could be a difference between the timing of when these beneficial actions impact our results of operations and when the cost of inflation is incurred.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Any failure to successfully manage the impact of inflation on our business in a timely manner could materially and adversely affect our business, financial condition, and results of operations.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Our reported financial results may be adversely affected by changes in generally accepted accounting principles.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Generally accepted accounting principles are subject to interpretation by the Financial Accounting Standards Board, the SEC, and various bodies formed to promulgate and interpret appropriate accounting principles. A change in these principles or interpretations could have a significant effect on our reported results of operations and could affect the reporting of transactions completed before the announcement of a change. It is difficult to predict the impact of future changes to accounting principles or our accounting policies, any of which could negatively affect our reported results of operations.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Risks related to ownership of our common stock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The trading price of our common stock may be volatile, and you could lose all or part of your investment.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market price of our common stock has, and may continue to, fluctuate substantially depending on a number of factors, including those described in this “Risk Factors” section, many of which are beyond our control and may not be related to our operating performance. These fluctuations could cause you to lose all or part of your investment in our common stock. Factors that could cause fluctuations in the trading price of our common stock include the following: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price and volume fluctuations in the overall stock market from time to time;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volatility in the trading prices and trading volumes of technology stocks;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changes in operating performance and stock market valuations of other technology companies generally, or those in our industry in particular;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sales of shares of our common stock by us or our stockholders;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failure of securities analysts to maintain coverage of us, changes in financial estimates by securities analysts who follow our company, or our failure to meet these estimates or the expectations of investors;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financial projections we may provide to the public, any changes in those projections, or our failure to meet those projections;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announcements by us or our competitors of new services or platform features;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public’s reaction to our press releases, other public announcements, and filings with the SEC;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rumors and market speculation involving us or other companies in our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actual or anticipated changes in our results of operations;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actual or anticipated developments in our business, our competitors’ businesses, or the competitive landscape generally;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litigation involving us, our industry or both, or investigations by regulators into our operations or those of our competitors;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actual or perceived privacy or security breaches or other incidents;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developments or disputes concerning our intellectual property or other proprietary rights;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announced or completed acquisitions of businesses, services, or technologies by us or our competitors;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new laws or regulations or new interpretations of existing laws or regulations applicable to our business;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changes in accounting standards, policies, guidelines, interpretations, or principles;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any significant change in our management;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actual or anticipated changes in international trade policies, including those resulting from tariffs, trade barriers and other trade regulations, as well as the actual or anticipated effect of such policies on us and our customers;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general economic conditions and slow or negative growth of our markets;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other events or factors, </w:t>
      </w:r>
      <w:r>
        <w:rPr>
          <w:rFonts w:ascii="Arial;sans-serif" w:hAnsi="Arial;sans-serif"/>
          <w:b w:val="false"/>
          <w:color w:val="000000"/>
          <w:sz w:val="20"/>
          <w:shd w:fill="FFFFFF" w:val="clear"/>
        </w:rPr>
        <w:t>including those resulting from wars and other armed conflicts, such as Russia’s invasion of Ukraine and the ongoing conflicts in the Middle East, incidents of terrorism, natural disasters, public health emergencies, or natural disasters, as well as responses to any of these events.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Future sales of our common stock could depress the market price of our common stock.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market price of our common stock could decline as a result of substantial sales of our common stock, particularly sales by our directors, executive officers, and significant stockholders, a large number of shares of our common stock becoming available for sale, or the perception in the market that such sales could occur.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Certain holders of our common stock are entitled to rights with respect to the registration of their shares under the Securities Act under our investors’ rights agreement. Registration of these shares under the Securities Act would result in the shares becoming freely tradable without restriction under the Securities Act, except for shares held by our affiliates (as defined in Rule 144 under the Securities Act), which shares would be subject to the limitations of Rule 144. Sales of our securities or the perception that such sales could occur pursuant to these registration rights may make it more difficult for us to issue and sell securities in the future at a time and at a price that we deem appropriate. These sales could also adversely affect the trading price of our common stock and make it more difficult for you to sell shares of our common stock.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Future issuances of our common stock or rights to purchase common stock could result in additional dilution to our stockholders and cause the price of our common stock to decline.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may issue additional common stock, convertible securities, or other equity from time to time. We also expect to issue common stock to our employees, directors, and other service providers pursuant to our equity incentive plans. Such issuances will be dilutive to investors and could cause the price of our common stock to decline. New investors in such issuances could also receive rights senior to those of holders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If securities or industry analysts do not publish research or publish inaccurate or unfavorable research about us, our business or our industry, or if they change their recommendation regarding our common stock adversely, the market price and trading volume of our common stock could decline.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trading market for our common stock will depend in part on the research and reports that securities or industry analysts publish about us, our business, our market, or our competitors. The analysts’ estimates are based upon their own opinions and are often different from our estimates or expectations. If any of the analysts who cover us change their recommendation regarding our common stock adversely, provide more favorable relative recommendations about our competitors, or publish inaccurate or unfavorable research about our business, the price of our securities would likely decline. If any analyst who may cover us were to cease coverage of us or fail to regularly publish reports on us, we could lose visibility in the financial markets and demand for our securities could decrease, which could cause the price and trading volume of our common stock to decline.</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do not expect to pay dividends in the foreseeable future.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have never declared nor paid cash dividends on our capital stock. We currently intend to retain any future earnings to finance the operation and expansion of our business, and we do not anticipate declaring or paying any dividends to holders of our capital stock in the foreseeable future. Consequently, stockholders must rely on sales of their shares of our common stock after price appreciation, which may never occur, as the only way to realize any future gains on their investment.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Our directors, executive officers, and principal stockholders beneficially own a substantial percentage of our common stock and are able to exert significant control over matters subject to stockholder approval. </w:t>
      </w:r>
    </w:p>
    <w:p>
      <w:pPr>
        <w:pStyle w:val="TextBody"/>
        <w:bidi w:val="0"/>
        <w:spacing w:lineRule="auto" w:line="288" w:before="120" w:after="283"/>
        <w:jc w:val="left"/>
        <w:rPr/>
      </w:pPr>
      <w:r>
        <w:rPr>
          <w:rFonts w:ascii="Arial;sans-serif" w:hAnsi="Arial;sans-serif"/>
          <w:b w:val="false"/>
          <w:color w:val="000000"/>
          <w:sz w:val="20"/>
        </w:rPr>
        <w:t>As of March 31, 2025, our directors, executive officers, and holders of more than 5% of our outstanding common stock, together with their respective affiliates, beneficially owned shares representing approximately 51% of our outstanding common stock. As a result, these stockholders, if they act together, will be able to influence our</w:t>
      </w:r>
      <w:r>
        <w:rPr>
          <w:color w:val="000000"/>
          <w:shd w:fill="FFFFFF" w:val="clear"/>
        </w:rPr>
        <w:t xml:space="preserve"> </w:t>
      </w:r>
      <w:r>
        <w:rPr>
          <w:rFonts w:ascii="Arial;sans-serif" w:hAnsi="Arial;sans-serif"/>
          <w:b w:val="false"/>
          <w:color w:val="000000"/>
          <w:sz w:val="20"/>
          <w:shd w:fill="FFFFFF" w:val="clear"/>
        </w:rPr>
        <w:t xml:space="preserve">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 </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 xml:space="preserve">Delaware law and provisions in our amended and restated certificate of incorporation and amended and restated bylaws might delay, discourage or prevent a merger, tender offer or proxy contest, thereby depressing the market price of our common stock.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status as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date of the transaction in which the person became an interested stockholder, even if a change of control would be beneficial to our existing stockholders. In addition, our amended and restated certificate of incorporation and amended and restated bylaws contain provisions that may make any acquisition of our company more difficult or delay or prevent changes in control of our management. Among other things, these provisions: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provide that our board of directors is expressly authorized to make, alter or repeal our bylaws;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authorize our board of directors to issue shares of preferred stock and determine the price and other terms of those shares, including preferences and voting rights, without stockholder approval;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provide that the authorized number of directors may be changed only by resolution of the board of directors;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provide that all vacancies on our board of directors and all newly created directorships may only be filled by the affirmative vote of a majority of directors then in office, even if less than a quorum, or by a sole remaining director, except as otherwise required by law, our governing documents or resolution of our board of directors, and subject to the rights of the holders of our preferred stock;</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establish that our board of directors is divided into three classes, with each class serving staggered three-year terms;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provide that a director may only be removed from the board of directors by the stockholders for cause and only by the affirmative vote of the holders of at least a majority of the voting power of the issued and outstanding capital stock entitled to vote in the election of directors;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prohibit cumulative voting (therefore allowing the holders of a plurality of the shares of common stock entitled to vote in any election of directors to elect all of the directors standing for election, if they should so choose);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require that any action to be taken by our stockholders must be effected at a duly called annual or special meeting of stockholders and not be taken by written consent;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require that stockholders give advance notice to nominate directors or submit proposals for consideration at stockholder meetings;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provide that special meetings of our stockholders may be called only by the board of directors acting pursuant to a resolution adopted by the majority of the entire board of directors, the Chairperson of the board of directors, our Chief Executive Officer or our President;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provide that, unless we otherwise consent in writing, a state or federal court located within the State of Delaware shall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and our amended and restated bylaws, or (4) any action asserting a claim against us governed by the internal affairs doctrine;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provide that the federal district courts of the United States of America will be the exclusive forum for resolving any complaint asserting a cause of action arising under the Securities Act;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require a super-majority vote of stockholders to amend some of the provisions described above.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These provisions, alone or together, could delay, discourage,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common stock and could also affect the price that some investors are willing to pay for our common stock.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Our amended and restated bylaws provide, to the fullest extent permitted by law, that the Court of Chancery of the State of Delaware and the federal district courts of the United States are the exclusive forum for substantially all disputes between us and our stockholders, which could limit our stockholders’ ability to choose the judicial forum for disputes with us or our directors, officers, stockholders, or employees and, in turn, discourage lawsuits against our directors, officers, or employees.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amended and restated bylaws provide that, to the fullest extent permitted by applicable law and unless we consent in writing to the selection of an alternative forum, the Court of Chancery of the State of Delaware (or, if the Court of Chancery does not have jurisdiction, another state court in Delaware or the federal district court for the District of Delaware) will be the sole and exclusive forum for any derivative action or proceeding brought on our behalf; any action asserting a claim of breach of a fiduciary duty owed by any of our directors, stockholders, officers, or other employees to us or our stockholders; any action arising pursuant to any provision of the DGCL, our certificate of incorporation, or our bylaws; and any other action asserting a claim that is governed by the internal affairs doctrine. This exclusive forum provision would not apply to any action brought to enforce a duty or liability created by the Exchange Act or any other claim for which the federal courts of the United States have exclusive jurisdiction.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20" w:after="283"/>
        <w:jc w:val="left"/>
        <w:rPr/>
      </w:pPr>
      <w:r>
        <w:rPr>
          <w:rFonts w:ascii="Arial;sans-serif" w:hAnsi="Arial;sans-serif"/>
          <w:b w:val="false"/>
          <w:color w:val="000000"/>
          <w:sz w:val="20"/>
        </w:rPr>
        <w:t xml:space="preserve">Our amended and restated bylaws also provide that, to the fullest extent permitted by applicable law and unless we consent in writing to the selection of an alternative forum, the federal district courts of the United States will be the sole and exclusive forum for resolving any complaint asserting a cause of action arising under the Securities Act against any person in connection with any offering of our securities. </w:t>
      </w:r>
      <w:r>
        <w:rPr>
          <w:rFonts w:ascii="Arial;sans-serif" w:hAnsi="Arial;sans-serif"/>
          <w:b w:val="false"/>
          <w:color w:val="000000"/>
          <w:sz w:val="20"/>
          <w:shd w:fill="FFFFFF" w:val="clear"/>
        </w:rPr>
        <w:t>The enforceability of similar exclusive federal forum provisions in other companies’ organizational documents has been challenged in legal proceedings, and while the Delaware Supreme Court and certain other state courts have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 This exclusive federal forum provision would not apply to suits brought to enforce a duty or liability created by the Exchange Act or any other claim for which the federal courts of the United States have exclusive jurisdiction.</w:t>
      </w:r>
      <w:r>
        <w:rPr>
          <w:color w:val="000000"/>
        </w:rPr>
        <w:t xml:space="preserve"> </w:t>
      </w:r>
    </w:p>
    <w:p>
      <w:pPr>
        <w:pStyle w:val="TextBody"/>
        <w:bidi w:val="0"/>
        <w:spacing w:lineRule="auto" w:line="288" w:before="120" w:after="283"/>
        <w:jc w:val="left"/>
        <w:rPr/>
      </w:pPr>
      <w:r>
        <w:rPr>
          <w:rFonts w:ascii="Arial;sans-serif" w:hAnsi="Arial;sans-serif"/>
          <w:b w:val="false"/>
          <w:color w:val="000000"/>
          <w:sz w:val="20"/>
        </w:rPr>
        <w:t xml:space="preserve">These exclusive forum provisions may discourage lawsuits against us and our current and former directors, officers, stockholders, and other employees. </w:t>
      </w:r>
      <w:r>
        <w:rPr>
          <w:rFonts w:ascii="Arial;sans-serif" w:hAnsi="Arial;sans-serif"/>
          <w:b w:val="false"/>
          <w:color w:val="000000"/>
          <w:sz w:val="20"/>
          <w:shd w:fill="FFFFFF" w:val="clear"/>
        </w:rPr>
        <w:t>Alternatively, if a court were to find either exclusive forum provision in our amended and restated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Item 2. Unregistered Sales of Equity Securities and Use of Proceeds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None. </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Item 3. Defaults Upon Senior Securities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Item 4. Mine Safety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Item 5. Other Information</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Securities Trading Plans of Directors and Executive Officers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last fiscal quarter, no director or officer, as defined in Rule 16a-1(f) of the Exchange Act, adopted or terminated a “Rule 10b5-1 trading arrangement” or a “non-Rule 10b5-1 trading arrangement,” each as defined in Item 408 of Regulation S-K, except as follows:</w:t>
      </w:r>
    </w:p>
    <w:tbl>
      <w:tblPr>
        <w:tblW w:w="10205" w:type="dxa"/>
        <w:jc w:val="left"/>
        <w:tblInd w:w="0" w:type="dxa"/>
        <w:tblLayout w:type="fixed"/>
        <w:tblCellMar>
          <w:top w:w="28" w:type="dxa"/>
          <w:left w:w="28" w:type="dxa"/>
          <w:bottom w:w="28" w:type="dxa"/>
          <w:right w:w="28" w:type="dxa"/>
        </w:tblCellMar>
      </w:tblPr>
      <w:tblGrid>
        <w:gridCol w:w="533"/>
        <w:gridCol w:w="306"/>
        <w:gridCol w:w="309"/>
        <w:gridCol w:w="109"/>
        <w:gridCol w:w="109"/>
        <w:gridCol w:w="109"/>
        <w:gridCol w:w="527"/>
        <w:gridCol w:w="527"/>
        <w:gridCol w:w="528"/>
        <w:gridCol w:w="109"/>
        <w:gridCol w:w="109"/>
        <w:gridCol w:w="109"/>
        <w:gridCol w:w="314"/>
        <w:gridCol w:w="314"/>
        <w:gridCol w:w="315"/>
        <w:gridCol w:w="109"/>
        <w:gridCol w:w="109"/>
        <w:gridCol w:w="109"/>
        <w:gridCol w:w="404"/>
        <w:gridCol w:w="404"/>
        <w:gridCol w:w="405"/>
        <w:gridCol w:w="109"/>
        <w:gridCol w:w="109"/>
        <w:gridCol w:w="109"/>
        <w:gridCol w:w="314"/>
        <w:gridCol w:w="314"/>
        <w:gridCol w:w="315"/>
        <w:gridCol w:w="109"/>
        <w:gridCol w:w="109"/>
        <w:gridCol w:w="109"/>
        <w:gridCol w:w="381"/>
        <w:gridCol w:w="381"/>
        <w:gridCol w:w="381"/>
        <w:gridCol w:w="657"/>
        <w:gridCol w:w="381"/>
        <w:gridCol w:w="560"/>
      </w:tblGrid>
      <w:tr>
        <w:trPr/>
        <w:tc>
          <w:tcPr>
            <w:tcW w:w="53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 xml:space="preserve">Character of Trading Arrangement </w:t>
            </w:r>
            <w:r>
              <w:rPr>
                <w:rFonts w:ascii="Arial;sans-serif" w:hAnsi="Arial;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Date Adopted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Date Terminated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Duration</w:t>
            </w:r>
            <w:r>
              <w:rPr>
                <w:color w:val="000000"/>
              </w:rPr>
              <w:t xml:space="preserve"> </w:t>
            </w:r>
            <w:r>
              <w:rPr>
                <w:rFonts w:ascii="Arial;sans-serif" w:hAnsi="Arial;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Aggregate Number of Shares of Common Stock to be Purchased or Sold Pursuant to Trading Arrangement</w:t>
            </w:r>
          </w:p>
        </w:tc>
      </w:tr>
      <w:tr>
        <w:trPr/>
        <w:tc>
          <w:tcPr>
            <w:tcW w:w="114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Sarah Blanchard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Rule 10b5-1 Trading Arrangement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March 14,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March 31,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xml:space="preserve">Up to </w:t>
            </w:r>
          </w:p>
        </w:tc>
        <w:tc>
          <w:tcPr>
            <w:tcW w:w="1038" w:type="dxa"/>
            <w:gridSpan w:val="2"/>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100,000 </w:t>
            </w:r>
          </w:p>
        </w:tc>
        <w:tc>
          <w:tcPr>
            <w:tcW w:w="560" w:type="dxa"/>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Chief Financial Officer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1038" w:type="dxa"/>
            <w:gridSpan w:val="2"/>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560" w:type="dxa"/>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Greg Brown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Rule 10b5-1 Trading Arrangement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March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June 23,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Up to</w:t>
            </w:r>
          </w:p>
        </w:tc>
        <w:tc>
          <w:tcPr>
            <w:tcW w:w="1038" w:type="dxa"/>
            <w:gridSpan w:val="2"/>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140,500 </w:t>
            </w:r>
          </w:p>
        </w:tc>
        <w:tc>
          <w:tcPr>
            <w:tcW w:w="560" w:type="dxa"/>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Director &amp; Former Chief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38"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560" w:type="dxa"/>
            <w:vMerge w:val="continue"/>
            <w:tcBorders/>
            <w:shd w:fill="FFFFFF" w:val="clear"/>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(1)     Except as indicated by footnote, each trading arrangement marked as a “Rule 10b5-1 Trading Arrangement” is intended to satisfy the affirmative defense of Rule 10b5-1(c), as amended.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     Except as indicated by footnote, each trading arrangement permits transactions through and including the earlier of (a) the execution or expiration of all trades specified under the trading arrangement or (b) the date listed in the table. Each trading arrangement marked as a “Rule 10b5-1 Trading Arrangement” only permits transactions upon expiration of the applicable mandatory cooling-off periods under Rule 10b5-1(c), as amended, and our insider trading policy.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Item 6. Exhibits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documents listed in the Exhibit Index of this Quarterly Report on Form 10-Q are herein incorporated by reference or are filed with this Quarterly Report on Form 10-Q, in each case as indicated therein (numbered in accordance with Item 601 of Regulation S-K).</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EXHIBIT INDEX</w:t>
      </w:r>
    </w:p>
    <w:tbl>
      <w:tblPr>
        <w:tblW w:w="10205" w:type="dxa"/>
        <w:jc w:val="left"/>
        <w:tblInd w:w="0" w:type="dxa"/>
        <w:tblLayout w:type="fixed"/>
        <w:tblCellMar>
          <w:top w:w="28" w:type="dxa"/>
          <w:left w:w="28" w:type="dxa"/>
          <w:bottom w:w="28" w:type="dxa"/>
          <w:right w:w="28" w:type="dxa"/>
        </w:tblCellMar>
      </w:tblPr>
      <w:tblGrid>
        <w:gridCol w:w="286"/>
        <w:gridCol w:w="251"/>
        <w:gridCol w:w="253"/>
        <w:gridCol w:w="109"/>
        <w:gridCol w:w="109"/>
        <w:gridCol w:w="109"/>
        <w:gridCol w:w="1622"/>
        <w:gridCol w:w="1349"/>
        <w:gridCol w:w="1353"/>
        <w:gridCol w:w="109"/>
        <w:gridCol w:w="109"/>
        <w:gridCol w:w="109"/>
        <w:gridCol w:w="200"/>
        <w:gridCol w:w="200"/>
        <w:gridCol w:w="201"/>
        <w:gridCol w:w="111"/>
        <w:gridCol w:w="111"/>
        <w:gridCol w:w="111"/>
        <w:gridCol w:w="303"/>
        <w:gridCol w:w="303"/>
        <w:gridCol w:w="304"/>
        <w:gridCol w:w="111"/>
        <w:gridCol w:w="111"/>
        <w:gridCol w:w="111"/>
        <w:gridCol w:w="255"/>
        <w:gridCol w:w="255"/>
        <w:gridCol w:w="256"/>
        <w:gridCol w:w="111"/>
        <w:gridCol w:w="111"/>
        <w:gridCol w:w="111"/>
        <w:gridCol w:w="366"/>
        <w:gridCol w:w="366"/>
        <w:gridCol w:w="429"/>
      </w:tblGrid>
      <w:tr>
        <w:trPr/>
        <w:tc>
          <w:tcPr>
            <w:tcW w:w="2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Incorporated by Reference</w:t>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Exhibit </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Form</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File Number</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Filing Date</w:t>
            </w:r>
          </w:p>
        </w:tc>
      </w:tr>
      <w:tr>
        <w:trPr/>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20"/>
                  <w:u w:val="single"/>
                </w:rPr>
                <w:t>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001-40956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2, 2021</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001-40956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February 27, 2023</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80"/>
                  <w:sz w:val="20"/>
                  <w:u w:val="single"/>
                </w:rPr>
                <w:t>E</w:t>
              </w:r>
            </w:hyperlink>
            <w:hyperlink r:id="rId5">
              <w:r>
                <w:rPr>
                  <w:rStyle w:val="InternetLink"/>
                  <w:rFonts w:ascii="Arial;sans-serif" w:hAnsi="Arial;sans-serif"/>
                  <w:b w:val="false"/>
                  <w:color w:val="000080"/>
                  <w:sz w:val="20"/>
                  <w:u w:val="single"/>
                </w:rPr>
                <w:t xml:space="preserve">mployment Letter, dated March 11, 2025, by and between </w:t>
              </w:r>
            </w:hyperlink>
            <w:hyperlink r:id="rId6">
              <w:r>
                <w:rPr>
                  <w:rStyle w:val="InternetLink"/>
                  <w:rFonts w:ascii="Arial;sans-serif" w:hAnsi="Arial;sans-serif"/>
                  <w:b w:val="false"/>
                  <w:color w:val="000080"/>
                  <w:sz w:val="20"/>
                  <w:u w:val="single"/>
                </w:rPr>
                <w:t>the Registra</w:t>
              </w:r>
            </w:hyperlink>
            <w:hyperlink r:id="rId7">
              <w:r>
                <w:rPr>
                  <w:rStyle w:val="InternetLink"/>
                  <w:rFonts w:ascii="Arial;sans-serif" w:hAnsi="Arial;sans-serif"/>
                  <w:b w:val="false"/>
                  <w:color w:val="000080"/>
                  <w:sz w:val="20"/>
                  <w:u w:val="single"/>
                </w:rPr>
                <w:t>nt and Hugo Sarrazin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001-40956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March 12, 2025</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20"/>
                  <w:u w:val="single"/>
                </w:rPr>
                <w:t>Change in Control and Severance Agreement, dated March 11, 2025, by and between Udemy, Inc. and Hugo Sarrazin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001-40956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March 12, 2025</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80"/>
                  <w:sz w:val="20"/>
                  <w:u w:val="single"/>
                </w:rPr>
                <w:t>T</w:t>
              </w:r>
            </w:hyperlink>
            <w:hyperlink r:id="rId10">
              <w:r>
                <w:rPr>
                  <w:rStyle w:val="InternetLink"/>
                  <w:rFonts w:ascii="Arial;sans-serif" w:hAnsi="Arial;sans-serif"/>
                  <w:b w:val="false"/>
                  <w:color w:val="000080"/>
                  <w:sz w:val="20"/>
                  <w:u w:val="single"/>
                </w:rPr>
                <w:t>ransition Agreement, dated March 11, 2025, by and between the Registrant and Greg Brown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001-40956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March 12, 2025</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demy-10xq_exx311q12025.htm">
              <w:r>
                <w:rPr>
                  <w:rStyle w:val="InternetLink"/>
                  <w:rFonts w:ascii="Arial;sans-serif" w:hAnsi="Arial;sans-serif"/>
                  <w:b w:val="false"/>
                  <w:color w:val="0000FF"/>
                  <w:sz w:val="20"/>
                  <w:u w:val="single"/>
                </w:rPr>
                <w:t>Certification of the Principal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demy-10xq_exx312q12025.htm">
              <w:r>
                <w:rPr>
                  <w:rStyle w:val="InternetLink"/>
                  <w:rFonts w:ascii="Arial;sans-serif" w:hAnsi="Arial;sans-serif"/>
                  <w:b w:val="false"/>
                  <w:color w:val="0000FF"/>
                  <w:sz w:val="20"/>
                  <w:u w:val="single"/>
                </w:rPr>
                <w:t>Certification of the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demy-10xq_exx321q12025.htm">
              <w:r>
                <w:rPr>
                  <w:rStyle w:val="InternetLink"/>
                  <w:rFonts w:ascii="Arial;sans-serif" w:hAnsi="Arial;sans-serif"/>
                  <w:b w:val="false"/>
                  <w:color w:val="0000FF"/>
                  <w:sz w:val="20"/>
                  <w:u w:val="single"/>
                </w:rPr>
                <w:t>Certifications of the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demy-10xq_exx322q12025.htm">
              <w:r>
                <w:rPr>
                  <w:rStyle w:val="InternetLink"/>
                  <w:rFonts w:ascii="Arial;sans-serif" w:hAnsi="Arial;sans-serif"/>
                  <w:b w:val="false"/>
                  <w:color w:val="0000FF"/>
                  <w:sz w:val="20"/>
                  <w:u w:val="single"/>
                </w:rPr>
                <w:t>Certification of the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tbl>
      <w:tblPr>
        <w:tblW w:w="9738" w:type="dxa"/>
        <w:jc w:val="left"/>
        <w:tblInd w:w="0" w:type="dxa"/>
        <w:tblLayout w:type="fixed"/>
        <w:tblCellMar>
          <w:top w:w="28" w:type="dxa"/>
          <w:left w:w="28" w:type="dxa"/>
          <w:bottom w:w="28" w:type="dxa"/>
          <w:right w:w="28" w:type="dxa"/>
        </w:tblCellMar>
      </w:tblPr>
      <w:tblGrid>
        <w:gridCol w:w="325"/>
        <w:gridCol w:w="286"/>
        <w:gridCol w:w="289"/>
        <w:gridCol w:w="109"/>
        <w:gridCol w:w="109"/>
        <w:gridCol w:w="109"/>
        <w:gridCol w:w="1948"/>
        <w:gridCol w:w="1948"/>
        <w:gridCol w:w="195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tbl>
      <w:tblPr>
        <w:tblW w:w="10205" w:type="dxa"/>
        <w:jc w:val="left"/>
        <w:tblInd w:w="0" w:type="dxa"/>
        <w:tblLayout w:type="fixed"/>
        <w:tblCellMar>
          <w:top w:w="28" w:type="dxa"/>
          <w:left w:w="28" w:type="dxa"/>
          <w:bottom w:w="28" w:type="dxa"/>
          <w:right w:w="28" w:type="dxa"/>
        </w:tblCellMar>
      </w:tblPr>
      <w:tblGrid>
        <w:gridCol w:w="300"/>
        <w:gridCol w:w="258"/>
        <w:gridCol w:w="260"/>
        <w:gridCol w:w="109"/>
        <w:gridCol w:w="109"/>
        <w:gridCol w:w="109"/>
        <w:gridCol w:w="2156"/>
        <w:gridCol w:w="2117"/>
        <w:gridCol w:w="2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6"/>
      </w:tblGrid>
      <w:tr>
        <w:trPr/>
        <w:tc>
          <w:tcPr>
            <w:tcW w:w="30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Arial;sans-serif" w:hAnsi="Arial;sans-serif"/>
          <w:b w:val="false"/>
          <w:color w:val="000000"/>
          <w:sz w:val="20"/>
        </w:rPr>
      </w:pPr>
      <w:r>
        <w:rPr>
          <w:rFonts w:ascii="Arial;sans-serif" w:hAnsi="Arial;sans-serif"/>
          <w:b w:val="false"/>
          <w:color w:val="000000"/>
          <w:sz w:val="20"/>
        </w:rPr>
        <w:t>*    Filed herewith.</w:t>
      </w:r>
    </w:p>
    <w:p>
      <w:pPr>
        <w:pStyle w:val="TextBody"/>
        <w:bidi w:val="0"/>
        <w:spacing w:lineRule="auto" w:line="288" w:before="0" w:after="0"/>
        <w:ind w:left="0" w:right="0" w:hanging="450"/>
        <w:jc w:val="left"/>
        <w:rPr>
          <w:rFonts w:ascii="Arial;sans-serif" w:hAnsi="Arial;sans-serif"/>
          <w:b w:val="false"/>
          <w:color w:val="000000"/>
          <w:sz w:val="20"/>
        </w:rPr>
      </w:pPr>
      <w:r>
        <w:rPr>
          <w:rFonts w:ascii="Arial;sans-serif" w:hAnsi="Arial;sans-serif"/>
          <w:b w:val="false"/>
          <w:color w:val="000000"/>
          <w:sz w:val="20"/>
        </w:rPr>
        <w:t>**    The certifications attached as Exhibits 32.1 and 32.2 that accompany this Form 10-Q are deemed furnished and not filed with the Securities and Exchange Commission and are not to be incorporated by reference into any filing of Udemy, Inc. under the Securities Act of 1933, as amended, or the Securities Exchange Act of 1934, as amended, whether made before or after the date of this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7cf6dd7ad1c34b7ab137757266b745c8_7">
        <w:r>
          <w:rPr>
            <w:rStyle w:val="InternetLink"/>
            <w:rFonts w:ascii="Arial;sans-serif" w:hAnsi="Arial;sans-serif"/>
            <w:b w:val="false"/>
            <w:color w:val="000080"/>
            <w:sz w:val="20"/>
            <w:u w:val="single"/>
          </w:rPr>
          <w:t xml:space="preserve">Table of </w:t>
        </w:r>
      </w:hyperlink>
      <w:hyperlink w:anchor="i7cf6dd7ad1c34b7ab137757266b745c8_7">
        <w:r>
          <w:rPr>
            <w:rStyle w:val="InternetLink"/>
            <w:rFonts w:ascii="Arial;sans-serif" w:hAnsi="Arial;sans-serif"/>
            <w:b w:val="false"/>
            <w:color w:val="000080"/>
            <w:sz w:val="20"/>
            <w:u w:val="single"/>
          </w:rPr>
          <w:t>Contents</w:t>
        </w:r>
      </w:hyperlink>
    </w:p>
    <w:p>
      <w:pPr>
        <w:pStyle w:val="TextBody"/>
        <w:bidi w:val="0"/>
        <w:spacing w:lineRule="auto" w:line="288" w:before="200" w:after="283"/>
        <w:jc w:val="center"/>
        <w:rPr>
          <w:rFonts w:ascii="Arial;sans-serif" w:hAnsi="Arial;sans-serif"/>
          <w:b/>
          <w:color w:val="000000"/>
          <w:sz w:val="24"/>
        </w:rPr>
      </w:pPr>
      <w:r>
        <w:rPr>
          <w:rFonts w:ascii="Arial;sans-serif" w:hAnsi="Arial;sans-serif"/>
          <w:b/>
          <w:color w:val="000000"/>
          <w:sz w:val="24"/>
        </w:rPr>
        <w:t>SIGNATURES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5863" w:type="dxa"/>
        <w:jc w:val="left"/>
        <w:tblInd w:w="0" w:type="dxa"/>
        <w:tblLayout w:type="fixed"/>
        <w:tblCellMar>
          <w:top w:w="28" w:type="dxa"/>
          <w:left w:w="28" w:type="dxa"/>
          <w:bottom w:w="28" w:type="dxa"/>
          <w:right w:w="28" w:type="dxa"/>
        </w:tblCellMar>
      </w:tblPr>
      <w:tblGrid>
        <w:gridCol w:w="667"/>
        <w:gridCol w:w="585"/>
        <w:gridCol w:w="592"/>
        <w:gridCol w:w="195"/>
        <w:gridCol w:w="195"/>
        <w:gridCol w:w="195"/>
        <w:gridCol w:w="996"/>
        <w:gridCol w:w="996"/>
        <w:gridCol w:w="1442"/>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Udemy,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April 30, 2025</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 </w:t>
            </w:r>
            <w:r>
              <w:rPr>
                <w:rFonts w:ascii="Arial;sans-serif" w:hAnsi="Arial;sans-serif"/>
                <w:b w:val="false"/>
                <w:color w:val="000000"/>
                <w:sz w:val="20"/>
                <w:shd w:fill="FFFFFF" w:val="clear"/>
              </w:rPr>
              <w:t xml:space="preserve">Hugo Sarrazin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Hugo Sarrazin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April 30, 2025</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Sarah Blanchard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Sarah Blanchard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before="0" w:after="0"/>
        <w:jc w:val="center"/>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434" w:before="0" w:after="160"/>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Exhibit 31.1 </w:t>
      </w:r>
    </w:p>
    <w:p>
      <w:pPr>
        <w:pStyle w:val="TextBody"/>
        <w:bidi w:val="0"/>
        <w:spacing w:lineRule="auto" w:line="403" w:before="160" w:after="283"/>
        <w:jc w:val="center"/>
        <w:rPr>
          <w:rFonts w:ascii="Times New Roman;sans-serif" w:hAnsi="Times New Roman;sans-serif"/>
          <w:b/>
          <w:color w:val="000000"/>
          <w:sz w:val="18"/>
        </w:rPr>
      </w:pPr>
      <w:r>
        <w:rPr>
          <w:rFonts w:ascii="Times New Roman;sans-serif" w:hAnsi="Times New Roman;sans-serif"/>
          <w:b/>
          <w:color w:val="000000"/>
          <w:sz w:val="18"/>
        </w:rPr>
        <w:t>CERTIFICATION OF PRINCIPAL EXECUTIVE OFFICER PURSUANT TO</w:t>
      </w:r>
    </w:p>
    <w:p>
      <w:pPr>
        <w:pStyle w:val="TextBody"/>
        <w:bidi w:val="0"/>
        <w:spacing w:lineRule="auto" w:line="403" w:before="0" w:after="0"/>
        <w:jc w:val="center"/>
        <w:rPr>
          <w:rFonts w:ascii="Times New Roman;sans-serif" w:hAnsi="Times New Roman;sans-serif"/>
          <w:b/>
          <w:color w:val="000000"/>
          <w:sz w:val="18"/>
        </w:rPr>
      </w:pPr>
      <w:r>
        <w:rPr>
          <w:rFonts w:ascii="Times New Roman;sans-serif" w:hAnsi="Times New Roman;sans-serif"/>
          <w:b/>
          <w:color w:val="000000"/>
          <w:sz w:val="18"/>
        </w:rPr>
        <w:t>RULES 13a-14(a) AND 15d-14(a) UNDER THE SECURITIES EXCHANGE ACT OF 1934,</w:t>
      </w:r>
    </w:p>
    <w:p>
      <w:pPr>
        <w:pStyle w:val="TextBody"/>
        <w:bidi w:val="0"/>
        <w:spacing w:lineRule="auto" w:line="403"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 SECTION 302 OF THE SARBANES-OXLEY ACT OF 2002.</w:t>
      </w:r>
    </w:p>
    <w:p>
      <w:pPr>
        <w:pStyle w:val="TextBody"/>
        <w:bidi w:val="0"/>
        <w:spacing w:lineRule="auto" w:line="403" w:before="0" w:after="24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 Hugo Sarrazin, certify that: </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 have reviewed this Quarterly Report on Form 10-Q of Udemy, Inc.;</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60" w:before="0" w:after="0"/>
        <w:ind w:left="0" w:right="0" w:hanging="360"/>
        <w:jc w:val="left"/>
        <w:rPr/>
      </w:pPr>
      <w:r>
        <w:rPr>
          <w:rFonts w:ascii="Arial;sans-serif" w:hAnsi="Arial;sans-serif"/>
          <w:b w:val="false"/>
          <w:color w:val="000000"/>
          <w:sz w:val="18"/>
        </w:rPr>
        <w:t>(a)</w:t>
      </w:r>
      <w:r>
        <w:rPr>
          <w:rFonts w:ascii="Times New Roman;sans-serif" w:hAnsi="Times New Roman;sans-serif"/>
          <w:b w:val="false"/>
          <w:color w:val="000000"/>
          <w:sz w:val="18"/>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360" w:before="0" w:after="0"/>
        <w:ind w:left="0" w:right="0" w:hanging="360"/>
        <w:jc w:val="left"/>
        <w:rPr/>
      </w:pPr>
      <w:r>
        <w:rPr>
          <w:rFonts w:ascii="Arial;sans-serif" w:hAnsi="Arial;sans-serif"/>
          <w:b w:val="false"/>
          <w:color w:val="000000"/>
          <w:sz w:val="18"/>
        </w:rPr>
        <w:t>(b)</w:t>
      </w:r>
      <w:r>
        <w:rPr>
          <w:rFonts w:ascii="Times New Roman;sans-serif" w:hAnsi="Times New Roman;sans-serif"/>
          <w:b w:val="false"/>
          <w:color w:val="000000"/>
          <w:sz w:val="18"/>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360" w:before="0" w:after="0"/>
        <w:ind w:left="0" w:right="0" w:hanging="360"/>
        <w:jc w:val="left"/>
        <w:rPr/>
      </w:pPr>
      <w:r>
        <w:rPr>
          <w:rFonts w:ascii="Arial;sans-serif" w:hAnsi="Arial;sans-serif"/>
          <w:b w:val="false"/>
          <w:color w:val="000000"/>
          <w:sz w:val="18"/>
        </w:rPr>
        <w:t>(a)</w:t>
      </w:r>
      <w:r>
        <w:rPr>
          <w:rFonts w:ascii="Times New Roman;sans-serif" w:hAnsi="Times New Roman;sans-serif"/>
          <w:b w:val="false"/>
          <w:color w:val="000000"/>
          <w:sz w:val="18"/>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360" w:before="0" w:after="480"/>
        <w:ind w:left="0" w:right="0" w:hanging="360"/>
        <w:jc w:val="left"/>
        <w:rPr/>
      </w:pPr>
      <w:r>
        <w:rPr>
          <w:rFonts w:ascii="Arial;sans-serif" w:hAnsi="Arial;sans-serif"/>
          <w:b w:val="false"/>
          <w:color w:val="000000"/>
          <w:sz w:val="18"/>
        </w:rPr>
        <w:t>(b)</w:t>
      </w:r>
      <w:r>
        <w:rPr>
          <w:rFonts w:ascii="Times New Roman;sans-serif" w:hAnsi="Times New Roman;sans-serif"/>
          <w:b w:val="false"/>
          <w:color w:val="000000"/>
          <w:sz w:val="18"/>
        </w:rPr>
        <w:t xml:space="preserve">Any fraud, whether or not material, that involves management or other employees who have a significant role in the registrant’s internal control over financial reporting. </w:t>
      </w:r>
    </w:p>
    <w:tbl>
      <w:tblPr>
        <w:tblW w:w="4542" w:type="dxa"/>
        <w:jc w:val="left"/>
        <w:tblInd w:w="0" w:type="dxa"/>
        <w:tblLayout w:type="fixed"/>
        <w:tblCellMar>
          <w:top w:w="28" w:type="dxa"/>
          <w:left w:w="28" w:type="dxa"/>
          <w:bottom w:w="28" w:type="dxa"/>
          <w:right w:w="28" w:type="dxa"/>
        </w:tblCellMar>
      </w:tblPr>
      <w:tblGrid>
        <w:gridCol w:w="574"/>
        <w:gridCol w:w="506"/>
        <w:gridCol w:w="510"/>
        <w:gridCol w:w="109"/>
        <w:gridCol w:w="109"/>
        <w:gridCol w:w="109"/>
        <w:gridCol w:w="120"/>
        <w:gridCol w:w="120"/>
        <w:gridCol w:w="120"/>
        <w:gridCol w:w="661"/>
        <w:gridCol w:w="661"/>
        <w:gridCol w:w="943"/>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265" w:type="dxa"/>
            <w:gridSpan w:val="3"/>
            <w:tcBorders/>
            <w:tcMar>
              <w:top w:w="0" w:type="dxa"/>
              <w:left w:w="0" w:type="dxa"/>
              <w:bottom w:w="0" w:type="dxa"/>
              <w:right w:w="0" w:type="dxa"/>
            </w:tcMar>
            <w:vAlign w:val="center"/>
          </w:tcPr>
          <w:p>
            <w:pPr>
              <w:pStyle w:val="TableContents"/>
              <w:bidi w:val="0"/>
              <w:spacing w:lineRule="auto" w:line="403" w:before="0" w:after="0"/>
              <w:jc w:val="center"/>
              <w:rPr/>
            </w:pPr>
            <w:r>
              <w:rPr>
                <w:rFonts w:ascii="Times New Roman;sans-serif" w:hAnsi="Times New Roman;sans-serif"/>
                <w:b w:val="false"/>
                <w:color w:val="000000"/>
                <w:sz w:val="18"/>
              </w:rPr>
              <w:t xml:space="preserve">/s/ </w:t>
            </w:r>
            <w:r>
              <w:rPr>
                <w:rFonts w:ascii="Times New Roman;sans-serif" w:hAnsi="Times New Roman;sans-serif"/>
                <w:b w:val="false"/>
                <w:i/>
                <w:color w:val="000000"/>
                <w:sz w:val="18"/>
              </w:rPr>
              <w:t>Hugo Sarrazin</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403" w:before="0" w:after="240"/>
              <w:jc w:val="center"/>
              <w:rPr>
                <w:rFonts w:ascii="Times New Roman;sans-serif" w:hAnsi="Times New Roman;sans-serif"/>
                <w:b/>
                <w:color w:val="000000"/>
                <w:sz w:val="18"/>
              </w:rPr>
            </w:pPr>
            <w:r>
              <w:rPr>
                <w:rFonts w:ascii="Times New Roman;sans-serif" w:hAnsi="Times New Roman;sans-serif"/>
                <w:b/>
                <w:color w:val="000000"/>
                <w:sz w:val="18"/>
              </w:rPr>
              <w:t>Hugo Sarrazin</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President and</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Chief Executive Officer</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34" w:before="0" w:after="160"/>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Exhibit 31.2 </w:t>
      </w:r>
    </w:p>
    <w:p>
      <w:pPr>
        <w:pStyle w:val="TextBody"/>
        <w:bidi w:val="0"/>
        <w:spacing w:lineRule="auto" w:line="403" w:before="160" w:after="283"/>
        <w:jc w:val="center"/>
        <w:rPr>
          <w:rFonts w:ascii="Times New Roman;sans-serif" w:hAnsi="Times New Roman;sans-serif"/>
          <w:b/>
          <w:color w:val="000000"/>
          <w:sz w:val="18"/>
        </w:rPr>
      </w:pPr>
      <w:r>
        <w:rPr>
          <w:rFonts w:ascii="Times New Roman;sans-serif" w:hAnsi="Times New Roman;sans-serif"/>
          <w:b/>
          <w:color w:val="000000"/>
          <w:sz w:val="18"/>
        </w:rPr>
        <w:t>CERTIFICATION OF PRINCIPAL FINANCIAL OFFICER PURSUANT TO</w:t>
      </w:r>
    </w:p>
    <w:p>
      <w:pPr>
        <w:pStyle w:val="TextBody"/>
        <w:bidi w:val="0"/>
        <w:spacing w:lineRule="auto" w:line="403" w:before="0" w:after="0"/>
        <w:jc w:val="center"/>
        <w:rPr>
          <w:rFonts w:ascii="Times New Roman;sans-serif" w:hAnsi="Times New Roman;sans-serif"/>
          <w:b/>
          <w:color w:val="000000"/>
          <w:sz w:val="18"/>
        </w:rPr>
      </w:pPr>
      <w:r>
        <w:rPr>
          <w:rFonts w:ascii="Times New Roman;sans-serif" w:hAnsi="Times New Roman;sans-serif"/>
          <w:b/>
          <w:color w:val="000000"/>
          <w:sz w:val="18"/>
        </w:rPr>
        <w:t>RULES 13a-14(a) AND 15d-14(a) UNDER THE SECURITIES EXCHANGE ACT OF 1934,</w:t>
      </w:r>
    </w:p>
    <w:p>
      <w:pPr>
        <w:pStyle w:val="TextBody"/>
        <w:bidi w:val="0"/>
        <w:spacing w:lineRule="auto" w:line="403"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 SECTION 302 OF THE SARBANES-OXLEY ACT OF 2002</w:t>
      </w:r>
    </w:p>
    <w:p>
      <w:pPr>
        <w:pStyle w:val="TextBody"/>
        <w:bidi w:val="0"/>
        <w:spacing w:lineRule="auto" w:line="403" w:before="0" w:after="24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 Sarah Blanchard, certify that: </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 have reviewed this Quarterly Report on Form 10-Q of Udemy, Inc.;</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60" w:before="0" w:after="0"/>
        <w:ind w:left="0" w:right="0" w:hanging="360"/>
        <w:jc w:val="left"/>
        <w:rPr/>
      </w:pPr>
      <w:r>
        <w:rPr>
          <w:rFonts w:ascii="Arial;sans-serif" w:hAnsi="Arial;sans-serif"/>
          <w:b w:val="false"/>
          <w:color w:val="000000"/>
          <w:sz w:val="18"/>
        </w:rPr>
        <w:t>(a)</w:t>
      </w:r>
      <w:r>
        <w:rPr>
          <w:rFonts w:ascii="Times New Roman;sans-serif" w:hAnsi="Times New Roman;sans-serif"/>
          <w:b w:val="false"/>
          <w:color w:val="000000"/>
          <w:sz w:val="18"/>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360" w:before="0" w:after="0"/>
        <w:ind w:left="0" w:right="0" w:hanging="360"/>
        <w:jc w:val="left"/>
        <w:rPr/>
      </w:pPr>
      <w:r>
        <w:rPr>
          <w:rFonts w:ascii="Arial;sans-serif" w:hAnsi="Arial;sans-serif"/>
          <w:b w:val="false"/>
          <w:color w:val="000000"/>
          <w:sz w:val="18"/>
        </w:rPr>
        <w:t>(d)</w:t>
      </w:r>
      <w:r>
        <w:rPr>
          <w:rFonts w:ascii="Times New Roman;sans-serif" w:hAnsi="Times New Roman;sans-serif"/>
          <w:b w:val="false"/>
          <w:color w:val="000000"/>
          <w:sz w:val="18"/>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360" w:before="0" w:after="0"/>
        <w:ind w:left="0" w:right="0" w:hanging="360"/>
        <w:jc w:val="left"/>
        <w:rPr/>
      </w:pPr>
      <w:r>
        <w:rPr>
          <w:rFonts w:ascii="Arial;sans-serif" w:hAnsi="Arial;sans-serif"/>
          <w:b w:val="false"/>
          <w:color w:val="000000"/>
          <w:sz w:val="18"/>
        </w:rPr>
        <w:t>(a)</w:t>
      </w:r>
      <w:r>
        <w:rPr>
          <w:rFonts w:ascii="Times New Roman;sans-serif" w:hAnsi="Times New Roman;sans-serif"/>
          <w:b w:val="false"/>
          <w:color w:val="000000"/>
          <w:sz w:val="18"/>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360" w:before="0" w:after="480"/>
        <w:ind w:left="0" w:right="0" w:hanging="360"/>
        <w:jc w:val="left"/>
        <w:rPr/>
      </w:pPr>
      <w:r>
        <w:rPr>
          <w:rFonts w:ascii="Arial;sans-serif" w:hAnsi="Arial;sans-serif"/>
          <w:b w:val="false"/>
          <w:color w:val="000000"/>
          <w:sz w:val="18"/>
        </w:rPr>
        <w:t>(b)</w:t>
      </w:r>
      <w:r>
        <w:rPr>
          <w:rFonts w:ascii="Times New Roman;sans-serif" w:hAnsi="Times New Roman;sans-serif"/>
          <w:b w:val="false"/>
          <w:color w:val="000000"/>
          <w:sz w:val="18"/>
        </w:rPr>
        <w:t xml:space="preserve">Any fraud, whether or not material, that involves management or other employees who have a significant role in the registrant’s internal control over financial reporting. </w:t>
      </w:r>
    </w:p>
    <w:tbl>
      <w:tblPr>
        <w:tblW w:w="4556" w:type="dxa"/>
        <w:jc w:val="left"/>
        <w:tblInd w:w="0" w:type="dxa"/>
        <w:tblLayout w:type="fixed"/>
        <w:tblCellMar>
          <w:top w:w="28" w:type="dxa"/>
          <w:left w:w="28" w:type="dxa"/>
          <w:bottom w:w="28" w:type="dxa"/>
          <w:right w:w="28" w:type="dxa"/>
        </w:tblCellMar>
      </w:tblPr>
      <w:tblGrid>
        <w:gridCol w:w="574"/>
        <w:gridCol w:w="506"/>
        <w:gridCol w:w="510"/>
        <w:gridCol w:w="109"/>
        <w:gridCol w:w="109"/>
        <w:gridCol w:w="109"/>
        <w:gridCol w:w="120"/>
        <w:gridCol w:w="120"/>
        <w:gridCol w:w="120"/>
        <w:gridCol w:w="668"/>
        <w:gridCol w:w="668"/>
        <w:gridCol w:w="943"/>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279" w:type="dxa"/>
            <w:gridSpan w:val="3"/>
            <w:tcBorders/>
            <w:tcMar>
              <w:top w:w="0" w:type="dxa"/>
              <w:left w:w="0" w:type="dxa"/>
              <w:bottom w:w="0" w:type="dxa"/>
              <w:right w:w="0" w:type="dxa"/>
            </w:tcMar>
            <w:vAlign w:val="center"/>
          </w:tcPr>
          <w:p>
            <w:pPr>
              <w:pStyle w:val="TableContents"/>
              <w:bidi w:val="0"/>
              <w:spacing w:lineRule="auto" w:line="403" w:before="0" w:after="0"/>
              <w:jc w:val="center"/>
              <w:rPr/>
            </w:pPr>
            <w:r>
              <w:rPr>
                <w:rFonts w:ascii="Times New Roman;sans-serif" w:hAnsi="Times New Roman;sans-serif"/>
                <w:b w:val="false"/>
                <w:color w:val="000000"/>
                <w:sz w:val="18"/>
              </w:rPr>
              <w:t xml:space="preserve">/s/ </w:t>
            </w:r>
            <w:r>
              <w:rPr>
                <w:rFonts w:ascii="Times New Roman;sans-serif" w:hAnsi="Times New Roman;sans-serif"/>
                <w:b w:val="false"/>
                <w:i/>
                <w:color w:val="000000"/>
                <w:sz w:val="18"/>
              </w:rPr>
              <w:t>Sarah Blanchard</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Sarah Blanchard</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Chief Financial Officer</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03" w:before="0" w:after="0"/>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403" w:before="360" w:after="283"/>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403" w:before="0" w:after="0"/>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403"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360" w:before="240" w:after="283"/>
        <w:jc w:val="left"/>
        <w:rPr>
          <w:rFonts w:ascii="Arial;sans-serif" w:hAnsi="Arial;sans-serif"/>
          <w:b w:val="false"/>
          <w:color w:val="000000"/>
          <w:sz w:val="18"/>
        </w:rPr>
      </w:pPr>
      <w:r>
        <w:rPr>
          <w:rFonts w:ascii="Arial;sans-serif" w:hAnsi="Arial;sans-serif"/>
          <w:b w:val="false"/>
          <w:color w:val="000000"/>
          <w:sz w:val="18"/>
        </w:rPr>
        <w:t>In connection with the Quarterly Report on Form 10-Q of Udemy, Inc. (the “Company”) for the period ended March 31, 2025 as filed with the Securities and Exchange Commission on the date hereof (the “Report”), I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360" w:before="0" w:after="283"/>
              <w:jc w:val="left"/>
              <w:rPr>
                <w:rFonts w:ascii="Arial;sans-serif" w:hAnsi="Arial;sans-serif"/>
                <w:b w:val="false"/>
                <w:color w:val="000000"/>
                <w:sz w:val="18"/>
              </w:rPr>
            </w:pPr>
            <w:r>
              <w:rPr>
                <w:rFonts w:ascii="Arial;sans-serif" w:hAnsi="Arial;sans-serif"/>
                <w:b w:val="false"/>
                <w:color w:val="000000"/>
                <w:sz w:val="18"/>
              </w:rPr>
              <w:t>The Report fully complies with the requirements of section 13(a) or 15(d) of the Securities Exchange Act 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360" w:before="0" w:after="283"/>
              <w:jc w:val="left"/>
              <w:rPr>
                <w:rFonts w:ascii="Arial;sans-serif" w:hAnsi="Arial;sans-serif"/>
                <w:b w:val="false"/>
                <w:color w:val="000000"/>
                <w:sz w:val="18"/>
              </w:rPr>
            </w:pPr>
            <w:r>
              <w:rPr>
                <w:rFonts w:ascii="Arial;sans-serif" w:hAnsi="Arial;sans-serif"/>
                <w:b w:val="false"/>
                <w:color w:val="000000"/>
                <w:sz w:val="18"/>
              </w:rPr>
              <w:t>The information contained in the Report fairly presents, in all material respects, the financial condition and results of operations of the Company.</w:t>
            </w:r>
          </w:p>
        </w:tc>
      </w:tr>
    </w:tbl>
    <w:p>
      <w:pPr>
        <w:pStyle w:val="TextBody"/>
        <w:bidi w:val="0"/>
        <w:spacing w:lineRule="auto" w:line="360" w:before="0" w:after="0"/>
        <w:jc w:val="left"/>
        <w:rPr>
          <w:rFonts w:ascii="Arial;sans-serif" w:hAnsi="Arial;sans-serif"/>
          <w:b w:val="false"/>
          <w:color w:val="000000"/>
          <w:sz w:val="18"/>
        </w:rPr>
      </w:pPr>
      <w:r>
        <w:rPr>
          <w:rFonts w:ascii="Arial;sans-serif" w:hAnsi="Arial;sans-serif"/>
          <w:b w:val="false"/>
          <w:color w:val="000000"/>
          <w:sz w:val="18"/>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18"/>
        </w:rPr>
      </w:pPr>
      <w:r>
        <w:rPr>
          <w:rFonts w:ascii="Arial;sans-serif" w:hAnsi="Arial;sans-serif"/>
          <w:b w:val="false"/>
          <w:color w:val="000000"/>
          <w:sz w:val="18"/>
        </w:rPr>
        <w:t>This certification accompanies the Report to which it relates, is not deemed filed with the Securities and Exchange Commission and is not to be incorporated by reference into any filing of Udemy, Inc.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0"/>
        <w:jc w:val="left"/>
        <w:rPr/>
      </w:pPr>
      <w:r>
        <w:rPr/>
      </w:r>
    </w:p>
    <w:tbl>
      <w:tblPr>
        <w:tblW w:w="4977"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20"/>
        <w:gridCol w:w="120"/>
        <w:gridCol w:w="120"/>
        <w:gridCol w:w="746"/>
        <w:gridCol w:w="746"/>
        <w:gridCol w:w="1058"/>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403" w:before="0" w:after="0"/>
              <w:jc w:val="left"/>
              <w:rPr>
                <w:rFonts w:ascii="Arial;sans-serif" w:hAnsi="Arial;sans-serif"/>
                <w:b w:val="false"/>
                <w:color w:val="000000"/>
                <w:sz w:val="18"/>
              </w:rPr>
            </w:pPr>
            <w:r>
              <w:rPr>
                <w:rFonts w:ascii="Arial;sans-serif" w:hAnsi="Arial;sans-serif"/>
                <w:b w:val="false"/>
                <w:color w:val="000000"/>
                <w:sz w:val="18"/>
              </w:rPr>
              <w:t>Date: 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550" w:type="dxa"/>
            <w:gridSpan w:val="3"/>
            <w:tcBorders/>
            <w:tcMar>
              <w:top w:w="0" w:type="dxa"/>
              <w:left w:w="0" w:type="dxa"/>
              <w:bottom w:w="0" w:type="dxa"/>
              <w:right w:w="0" w:type="dxa"/>
            </w:tcMar>
            <w:vAlign w:val="center"/>
          </w:tcPr>
          <w:p>
            <w:pPr>
              <w:pStyle w:val="TableContents"/>
              <w:bidi w:val="0"/>
              <w:spacing w:lineRule="auto" w:line="403" w:before="0" w:after="0"/>
              <w:jc w:val="center"/>
              <w:rPr>
                <w:rFonts w:ascii="Arial;sans-serif" w:hAnsi="Arial;sans-serif"/>
                <w:b w:val="false"/>
                <w:color w:val="000000"/>
                <w:sz w:val="18"/>
              </w:rPr>
            </w:pPr>
            <w:r>
              <w:rPr>
                <w:rFonts w:ascii="Arial;sans-serif" w:hAnsi="Arial;sans-serif"/>
                <w:b w:val="false"/>
                <w:color w:val="000000"/>
                <w:sz w:val="18"/>
              </w:rPr>
              <w:t>/s/ Hugo Sarrazin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Hugo Sarrazin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President and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03" w:before="0" w:after="0"/>
        <w:jc w:val="right"/>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403" w:before="360" w:after="283"/>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403" w:before="0" w:after="0"/>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403"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403" w:before="240" w:after="283"/>
        <w:jc w:val="left"/>
        <w:rPr>
          <w:rFonts w:ascii="Arial;sans-serif" w:hAnsi="Arial;sans-serif"/>
          <w:b w:val="false"/>
          <w:color w:val="000000"/>
          <w:sz w:val="18"/>
        </w:rPr>
      </w:pPr>
      <w:r>
        <w:rPr>
          <w:rFonts w:ascii="Arial;sans-serif" w:hAnsi="Arial;sans-serif"/>
          <w:b w:val="false"/>
          <w:color w:val="000000"/>
          <w:sz w:val="18"/>
        </w:rPr>
        <w:t>In connection with the Quarterly Report on Form 10-Q of Udemy, Inc. (the “Company”) for the period ended March 31, 2025 as filed with the Securities and Exchange Commission on the date hereof (the “Report”), I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360" w:before="0" w:after="283"/>
              <w:jc w:val="left"/>
              <w:rPr>
                <w:rFonts w:ascii="Arial;sans-serif" w:hAnsi="Arial;sans-serif"/>
                <w:b w:val="false"/>
                <w:color w:val="000000"/>
                <w:sz w:val="18"/>
              </w:rPr>
            </w:pPr>
            <w:r>
              <w:rPr>
                <w:rFonts w:ascii="Arial;sans-serif" w:hAnsi="Arial;sans-serif"/>
                <w:b w:val="false"/>
                <w:color w:val="000000"/>
                <w:sz w:val="18"/>
              </w:rPr>
              <w:t>The Report fully complies with the requirements of section 13(a) or 15(d) of the Securities Exchange Act 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360" w:before="60" w:after="283"/>
              <w:jc w:val="left"/>
              <w:rPr>
                <w:rFonts w:ascii="Arial;sans-serif" w:hAnsi="Arial;sans-serif"/>
                <w:b w:val="false"/>
                <w:color w:val="000000"/>
                <w:sz w:val="18"/>
              </w:rPr>
            </w:pPr>
            <w:r>
              <w:rPr>
                <w:rFonts w:ascii="Arial;sans-serif" w:hAnsi="Arial;sans-serif"/>
                <w:b w:val="false"/>
                <w:color w:val="000000"/>
                <w:sz w:val="18"/>
              </w:rPr>
              <w:t>The information contained in the Report fairly presents, in all material respects, the financial condition and results of operations of the Company.</w:t>
            </w:r>
          </w:p>
        </w:tc>
      </w:tr>
    </w:tbl>
    <w:p>
      <w:pPr>
        <w:pStyle w:val="TextBody"/>
        <w:bidi w:val="0"/>
        <w:spacing w:lineRule="auto" w:line="360" w:before="0" w:after="0"/>
        <w:jc w:val="left"/>
        <w:rPr>
          <w:rFonts w:ascii="Arial;sans-serif" w:hAnsi="Arial;sans-serif"/>
          <w:b w:val="false"/>
          <w:color w:val="000000"/>
          <w:sz w:val="18"/>
        </w:rPr>
      </w:pPr>
      <w:r>
        <w:rPr>
          <w:rFonts w:ascii="Arial;sans-serif" w:hAnsi="Arial;sans-serif"/>
          <w:b w:val="false"/>
          <w:color w:val="000000"/>
          <w:sz w:val="18"/>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18"/>
        </w:rPr>
      </w:pPr>
      <w:r>
        <w:rPr>
          <w:rFonts w:ascii="Arial;sans-serif" w:hAnsi="Arial;sans-serif"/>
          <w:b w:val="false"/>
          <w:color w:val="000000"/>
          <w:sz w:val="18"/>
        </w:rPr>
        <w:t>This certification accompanies the Report to which it relates, is not deemed filed with the Securities and Exchange Commission and is not to be incorporated by reference into any filing of Udemy, Inc.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0"/>
        <w:jc w:val="left"/>
        <w:rPr/>
      </w:pPr>
      <w:r>
        <w:rPr/>
      </w:r>
    </w:p>
    <w:tbl>
      <w:tblPr>
        <w:tblW w:w="4887"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20"/>
        <w:gridCol w:w="120"/>
        <w:gridCol w:w="120"/>
        <w:gridCol w:w="719"/>
        <w:gridCol w:w="719"/>
        <w:gridCol w:w="102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403" w:before="0" w:after="0"/>
              <w:jc w:val="left"/>
              <w:rPr>
                <w:rFonts w:ascii="Arial;sans-serif" w:hAnsi="Arial;sans-serif"/>
                <w:b w:val="false"/>
                <w:color w:val="000000"/>
                <w:sz w:val="18"/>
              </w:rPr>
            </w:pPr>
            <w:r>
              <w:rPr>
                <w:rFonts w:ascii="Arial;sans-serif" w:hAnsi="Arial;sans-serif"/>
                <w:b w:val="false"/>
                <w:color w:val="000000"/>
                <w:sz w:val="18"/>
              </w:rPr>
              <w:t>Date: 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403" w:before="0" w:after="0"/>
              <w:jc w:val="left"/>
              <w:rPr>
                <w:color w:val="000000"/>
              </w:rPr>
            </w:pPr>
            <w:r>
              <w:rPr>
                <w:color w:val="000000"/>
              </w:rPr>
              <w:t>  </w:t>
            </w:r>
          </w:p>
          <w:p>
            <w:pPr>
              <w:pStyle w:val="TableContents"/>
              <w:bidi w:val="0"/>
              <w:spacing w:lineRule="auto" w:line="403" w:before="0" w:after="0"/>
              <w:jc w:val="left"/>
              <w:rPr>
                <w:rFonts w:ascii="Arial;sans-serif" w:hAnsi="Arial;sans-serif"/>
                <w:b w:val="false"/>
                <w:color w:val="000000"/>
                <w:sz w:val="18"/>
              </w:rPr>
            </w:pPr>
            <w:r>
              <w:rPr>
                <w:rFonts w:ascii="Arial;sans-serif" w:hAnsi="Arial;sans-serif"/>
                <w:b w:val="false"/>
                <w:color w:val="000000"/>
                <w:sz w:val="18"/>
              </w:rPr>
              <w:t>By:</w:t>
            </w:r>
          </w:p>
        </w:tc>
        <w:tc>
          <w:tcPr>
            <w:tcW w:w="2460" w:type="dxa"/>
            <w:gridSpan w:val="3"/>
            <w:tcBorders/>
            <w:tcMar>
              <w:top w:w="0" w:type="dxa"/>
              <w:left w:w="0" w:type="dxa"/>
              <w:bottom w:w="0" w:type="dxa"/>
              <w:right w:w="0" w:type="dxa"/>
            </w:tcMar>
            <w:vAlign w:val="center"/>
          </w:tcPr>
          <w:p>
            <w:pPr>
              <w:pStyle w:val="TableContents"/>
              <w:bidi w:val="0"/>
              <w:spacing w:lineRule="auto" w:line="403" w:before="0" w:after="0"/>
              <w:jc w:val="center"/>
              <w:rPr/>
            </w:pPr>
            <w:r>
              <w:rPr>
                <w:rFonts w:ascii="Arial;sans-serif" w:hAnsi="Arial;sans-serif"/>
                <w:b w:val="false"/>
                <w:color w:val="000000"/>
                <w:sz w:val="18"/>
              </w:rPr>
              <w:t xml:space="preserve">/s/ </w:t>
            </w:r>
            <w:r>
              <w:rPr>
                <w:rFonts w:ascii="Arial;sans-serif" w:hAnsi="Arial;sans-serif"/>
                <w:b w:val="false"/>
                <w:i/>
                <w:color w:val="000000"/>
                <w:sz w:val="18"/>
              </w:rPr>
              <w:t>Sarah Blanchard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Sarah Blanchard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7939/000119312521317064/d245693dex31.htm" TargetMode="External"/><Relationship Id="rId3" Type="http://schemas.openxmlformats.org/officeDocument/2006/relationships/hyperlink" Target="https://www.sec.gov/Archives/edgar/data/1607939/000160793923000034/udemy-amendedandrestatedby.htm" TargetMode="External"/><Relationship Id="rId4" Type="http://schemas.openxmlformats.org/officeDocument/2006/relationships/hyperlink" Target="https://www.sec.gov/Archives/edgar/data/1607939/000119312525052600/d901444dex101.htm" TargetMode="External"/><Relationship Id="rId5" Type="http://schemas.openxmlformats.org/officeDocument/2006/relationships/hyperlink" Target="https://www.sec.gov/Archives/edgar/data/1607939/000119312525052600/d901444dex101.htm" TargetMode="External"/><Relationship Id="rId6" Type="http://schemas.openxmlformats.org/officeDocument/2006/relationships/hyperlink" Target="https://www.sec.gov/Archives/edgar/data/1607939/000119312525052600/d901444dex101.htm" TargetMode="External"/><Relationship Id="rId7" Type="http://schemas.openxmlformats.org/officeDocument/2006/relationships/hyperlink" Target="https://www.sec.gov/Archives/edgar/data/1607939/000119312525052600/d901444dex101.htm" TargetMode="External"/><Relationship Id="rId8" Type="http://schemas.openxmlformats.org/officeDocument/2006/relationships/hyperlink" Target="https://www.sec.gov/Archives/edgar/data/1607939/000119312525052600/d901444dex102.htm" TargetMode="External"/><Relationship Id="rId9" Type="http://schemas.openxmlformats.org/officeDocument/2006/relationships/hyperlink" Target="https://www.sec.gov/Archives/edgar/data/1607939/000119312525052600/d901444dex103.htm" TargetMode="External"/><Relationship Id="rId10" Type="http://schemas.openxmlformats.org/officeDocument/2006/relationships/hyperlink" Target="https://www.sec.gov/Archives/edgar/data/1607939/000119312525052600/d901444dex103.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43956</Words>
  <Characters>246697</Characters>
  <CharactersWithSpaces>288958</CharactersWithSpaces>
  <Paragraphs>2939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