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pPr>
      <w:r>
        <w:rPr>
          <w:rFonts w:ascii="Arial;sans-serif" w:hAnsi="Arial;sans-serif"/>
          <w:b/>
          <w:color w:val="000000"/>
          <w:sz w:val="28"/>
        </w:rPr>
        <w:t>Washington, D.C. 20549</w:t>
      </w:r>
      <w:r>
        <w:rPr>
          <w:color w:val="000000"/>
        </w:rPr>
        <w:t> </w:t>
      </w:r>
    </w:p>
    <w:p>
      <w:pPr>
        <w:pStyle w:val="TextBody"/>
        <w:bidi w:val="0"/>
        <w:spacing w:lineRule="auto" w:line="288" w:before="120" w:after="283"/>
        <w:jc w:val="center"/>
        <w:rPr>
          <w:rFonts w:ascii="Arial;sans-serif" w:hAnsi="Arial;sans-serif"/>
          <w:b/>
          <w:color w:val="000000"/>
          <w:sz w:val="32"/>
        </w:rPr>
      </w:pPr>
      <w:r>
        <w:rPr>
          <w:rFonts w:ascii="Arial;sans-serif" w:hAnsi="Arial;sans-serif"/>
          <w:b/>
          <w:color w:val="000000"/>
          <w:sz w:val="32"/>
        </w:rPr>
        <w:t>FORM 10-K</w:t>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0"/>
        <w:gridCol w:w="39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fiscal year ended December 31, 2023</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0"/>
        <w:gridCol w:w="2786"/>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Commission File Number              001-40956</w:t>
      </w:r>
    </w:p>
    <w:p>
      <w:pPr>
        <w:pStyle w:val="TextBody"/>
        <w:bidi w:val="0"/>
        <w:spacing w:lineRule="auto" w:line="288" w:before="180" w:after="283"/>
        <w:jc w:val="center"/>
        <w:rPr>
          <w:rFonts w:ascii="Arial;sans-serif" w:hAnsi="Arial;sans-serif"/>
          <w:b/>
          <w:color w:val="000000"/>
          <w:sz w:val="44"/>
        </w:rPr>
      </w:pPr>
      <w:r>
        <w:rPr>
          <w:rFonts w:ascii="Arial;sans-serif" w:hAnsi="Arial;sans-serif"/>
          <w:b/>
          <w:color w:val="000000"/>
          <w:sz w:val="44"/>
        </w:rPr>
        <w:t>Udemy, Inc.</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7135" w:type="dxa"/>
        <w:jc w:val="left"/>
        <w:tblInd w:w="0" w:type="dxa"/>
        <w:tblLayout w:type="fixed"/>
        <w:tblCellMar>
          <w:top w:w="28" w:type="dxa"/>
          <w:left w:w="28" w:type="dxa"/>
          <w:bottom w:w="28" w:type="dxa"/>
          <w:right w:w="28" w:type="dxa"/>
        </w:tblCellMar>
      </w:tblPr>
      <w:tblGrid>
        <w:gridCol w:w="1308"/>
        <w:gridCol w:w="1148"/>
        <w:gridCol w:w="1158"/>
        <w:gridCol w:w="109"/>
        <w:gridCol w:w="109"/>
        <w:gridCol w:w="109"/>
        <w:gridCol w:w="932"/>
        <w:gridCol w:w="932"/>
        <w:gridCol w:w="1330"/>
      </w:tblGrid>
      <w:tr>
        <w:trPr/>
        <w:tc>
          <w:tcPr>
            <w:tcW w:w="130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27-1779864</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(State or Other Jurisdiction of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600 Harrison Street, 3rd Floor</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94107</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(415) 813-1710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327" w:type="dxa"/>
        <w:jc w:val="left"/>
        <w:tblInd w:w="0" w:type="dxa"/>
        <w:tblLayout w:type="fixed"/>
        <w:tblCellMar>
          <w:top w:w="28" w:type="dxa"/>
          <w:left w:w="28" w:type="dxa"/>
          <w:bottom w:w="28" w:type="dxa"/>
          <w:right w:w="28" w:type="dxa"/>
        </w:tblCellMar>
      </w:tblPr>
      <w:tblGrid>
        <w:gridCol w:w="1170"/>
        <w:gridCol w:w="1029"/>
        <w:gridCol w:w="1040"/>
        <w:gridCol w:w="609"/>
        <w:gridCol w:w="609"/>
        <w:gridCol w:w="611"/>
        <w:gridCol w:w="1245"/>
        <w:gridCol w:w="1245"/>
        <w:gridCol w:w="1769"/>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$0.00001 par value</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UDMY</w:t>
            </w:r>
          </w:p>
        </w:tc>
        <w:tc>
          <w:tcPr>
            <w:tcW w:w="42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Stock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section12(g) of the Act: None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Indicate by check mark if the registrant is a well-known seasoned issuer, as defined in Rule 405 of the Securities Act. </w:t>
      </w:r>
    </w:p>
    <w:p>
      <w:pPr>
        <w:pStyle w:val="TextBody"/>
        <w:bidi w:val="0"/>
        <w:spacing w:lineRule="auto" w:line="288" w:before="60" w:after="283"/>
        <w:jc w:val="right"/>
        <w:rPr/>
      </w:pPr>
      <w:r>
        <w:rPr>
          <w:rFonts w:ascii="Arial;sans-serif" w:hAnsi="Arial;sans-serif"/>
          <w:b w:val="false"/>
          <w:color w:val="000000"/>
          <w:sz w:val="18"/>
        </w:rPr>
        <w:t xml:space="preserve">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w:t>
      </w:r>
    </w:p>
    <w:p>
      <w:pPr>
        <w:pStyle w:val="TextBody"/>
        <w:bidi w:val="0"/>
        <w:spacing w:lineRule="auto" w:line="288" w:before="60" w:after="283"/>
        <w:jc w:val="right"/>
        <w:rPr/>
      </w:pPr>
      <w:r>
        <w:rPr>
          <w:rFonts w:ascii="Arial;sans-serif" w:hAnsi="Arial;sans-serif"/>
          <w:b w:val="false"/>
          <w:color w:val="000000"/>
          <w:sz w:val="18"/>
        </w:rPr>
        <w:t xml:space="preserve">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60" w:after="283"/>
        <w:jc w:val="right"/>
        <w:rPr/>
      </w:pPr>
      <w:r>
        <w:rPr>
          <w:rFonts w:ascii="Arial;sans-serif" w:hAnsi="Arial;sans-serif"/>
          <w:b w:val="false"/>
          <w:color w:val="000000"/>
          <w:sz w:val="18"/>
        </w:rPr>
        <w:t>Yes </w:t>
      </w:r>
      <w:r>
        <w:rPr>
          <w:color w:val="000000"/>
        </w:rPr>
        <w:t>☒  </w:t>
      </w:r>
      <w:r>
        <w:rPr>
          <w:rFonts w:ascii="Arial;sans-serif" w:hAnsi="Arial;sans-serif"/>
          <w:b w:val="false"/>
          <w:color w:val="000000"/>
          <w:sz w:val="18"/>
        </w:rPr>
        <w:t xml:space="preserve">No </w:t>
      </w:r>
      <w:r>
        <w:rPr>
          <w:color w:val="000000"/>
        </w:rPr>
        <w:t>☐ </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288" w:before="60" w:after="283"/>
        <w:jc w:val="right"/>
        <w:rPr/>
      </w:pP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771" w:type="dxa"/>
        <w:jc w:val="left"/>
        <w:tblInd w:w="0" w:type="dxa"/>
        <w:tblLayout w:type="fixed"/>
        <w:tblCellMar>
          <w:top w:w="28" w:type="dxa"/>
          <w:left w:w="28" w:type="dxa"/>
          <w:bottom w:w="28" w:type="dxa"/>
          <w:right w:w="28" w:type="dxa"/>
        </w:tblCellMar>
      </w:tblPr>
      <w:tblGrid>
        <w:gridCol w:w="797"/>
        <w:gridCol w:w="702"/>
        <w:gridCol w:w="706"/>
        <w:gridCol w:w="750"/>
        <w:gridCol w:w="750"/>
        <w:gridCol w:w="1066"/>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Large accelerated filer </w:t>
            </w:r>
            <w:r>
              <w:rPr>
                <w:color w:val="000000"/>
              </w:rPr>
              <w:t>☒</w:t>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Accelerated filer </w:t>
            </w:r>
            <w:r>
              <w:rPr>
                <w:color w:val="000000"/>
              </w:rPr>
              <w:t>☐</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Non-accelerated filer  </w:t>
            </w:r>
            <w:r>
              <w:rPr>
                <w:color w:val="000000"/>
              </w:rPr>
              <w:t>☐</w:t>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Smaller reporting company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Emerging growth company ☐</w:t>
            </w:r>
          </w:p>
        </w:tc>
      </w:tr>
    </w:tbl>
    <w:p>
      <w:pPr>
        <w:pStyle w:val="TextBody"/>
        <w:bidi w:val="0"/>
        <w:spacing w:lineRule="auto" w:line="288" w:before="120" w:after="283"/>
        <w:ind w:left="0" w:right="0" w:firstLine="360"/>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Arial;sans-serif" w:hAnsi="Arial;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ind w:left="0" w:right="0" w:firstLine="360"/>
        <w:jc w:val="left"/>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20" w:after="283"/>
        <w:ind w:left="0" w:right="0" w:firstLine="360"/>
        <w:jc w:val="left"/>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w:t>
      </w:r>
    </w:p>
    <w:p>
      <w:pPr>
        <w:pStyle w:val="TextBody"/>
        <w:bidi w:val="0"/>
        <w:spacing w:lineRule="auto" w:line="288" w:before="12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ind w:left="0" w:right="0" w:firstLine="360"/>
        <w:jc w:val="left"/>
        <w:rPr>
          <w:rFonts w:ascii="Arial;sans-serif" w:hAnsi="Arial;sans-serif"/>
          <w:b w:val="false"/>
          <w:color w:val="000000"/>
          <w:sz w:val="18"/>
        </w:rPr>
      </w:pPr>
      <w:r>
        <w:rPr>
          <w:rFonts w:ascii="Arial;sans-serif" w:hAnsi="Arial;sans-serif"/>
          <w:b w:val="false"/>
          <w:color w:val="000000"/>
          <w:sz w:val="18"/>
        </w:rPr>
        <w:t>Based on the closing price of the Registrant’s Common Stock on the last business day of the Registrant’s most recently completed second fiscal quarter, which was June 30, 2023, the aggregate market value of its shares held by non-affiliates was approximately $938.6 million. Shares of the Registrant’s Common Stock held by each executive officer and director and by each entity or person that owned 5 percent or more of the Registrant’s outstanding Common Stock were excluded in that such persons may be deemed to be affiliates. This determination of affiliate status is not necessarily a conclusive determination for other purposes.</w:t>
      </w:r>
    </w:p>
    <w:p>
      <w:pPr>
        <w:pStyle w:val="TextBody"/>
        <w:bidi w:val="0"/>
        <w:spacing w:lineRule="auto" w:line="288" w:before="120" w:after="283"/>
        <w:ind w:left="0" w:right="0" w:firstLine="360"/>
        <w:jc w:val="left"/>
        <w:rPr>
          <w:rFonts w:ascii="Arial;sans-serif" w:hAnsi="Arial;sans-serif"/>
          <w:b w:val="false"/>
          <w:color w:val="000000"/>
          <w:sz w:val="18"/>
        </w:rPr>
      </w:pPr>
      <w:r>
        <w:rPr>
          <w:rFonts w:ascii="Arial;sans-serif" w:hAnsi="Arial;sans-serif"/>
          <w:b w:val="false"/>
          <w:color w:val="000000"/>
          <w:sz w:val="18"/>
        </w:rPr>
        <w:t>As of February 20, 2024, 158,088,671 shares of the registrant’s common stock were outstanding.</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DOCUMENTS INCORPORATED BY REFERENCE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Portions of the registrant’s Definitive Proxy Statement relating to the registrant’s 2024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23"/>
        <w:gridCol w:w="284"/>
        <w:gridCol w:w="287"/>
        <w:gridCol w:w="2954"/>
        <w:gridCol w:w="2884"/>
        <w:gridCol w:w="2868"/>
        <w:gridCol w:w="176"/>
        <w:gridCol w:w="176"/>
        <w:gridCol w:w="253"/>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ee56d5a4deb4ee7b36a2447ff3c8ce3_10">
              <w:r>
                <w:rPr>
                  <w:rStyle w:val="InternetLink"/>
                  <w:rFonts w:ascii="Arial;sans-serif" w:hAnsi="Arial;sans-serif"/>
                  <w:b w:val="false"/>
                  <w:color w:val="0000FF"/>
                  <w:sz w:val="20"/>
                  <w:u w:val="single"/>
                </w:rPr>
                <w:t>Summary of Risk Factors</w:t>
              </w:r>
            </w:hyperlink>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ee56d5a4deb4ee7b36a2447ff3c8ce3_10">
              <w:r>
                <w:rPr>
                  <w:rStyle w:val="InternetLink"/>
                  <w:rFonts w:ascii="Arial;sans-serif" w:hAnsi="Arial;sans-serif"/>
                  <w:b w:val="false"/>
                  <w:color w:val="0000FF"/>
                  <w:sz w:val="20"/>
                  <w:u w:val="single"/>
                </w:rPr>
                <w:t>i</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e56d5a4deb4ee7b36a2447ff3c8ce3_13">
              <w:r>
                <w:rPr>
                  <w:rStyle w:val="InternetLink"/>
                  <w:rFonts w:ascii="Arial;sans-serif" w:hAnsi="Arial;sans-serif"/>
                  <w:b w:val="false"/>
                  <w:color w:val="0000FF"/>
                  <w:sz w:val="20"/>
                  <w:u w:val="single"/>
                </w:rPr>
                <w:t>Special Note Regarding Forward-Looking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3">
              <w:r>
                <w:rPr>
                  <w:rStyle w:val="InternetLink"/>
                  <w:rFonts w:ascii="Arial;sans-serif" w:hAnsi="Arial;sans-serif"/>
                  <w:b w:val="false"/>
                  <w:color w:val="0000FF"/>
                  <w:sz w:val="20"/>
                  <w:u w:val="single"/>
                </w:rPr>
                <w:t>ii</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6">
              <w:r>
                <w:rPr>
                  <w:rStyle w:val="InternetLink"/>
                  <w:rFonts w:ascii="Arial;sans-serif" w:hAnsi="Arial;sans-serif"/>
                  <w:b w:val="false"/>
                  <w:color w:val="0000FF"/>
                  <w:sz w:val="20"/>
                  <w:u w:val="single"/>
                </w:rPr>
                <w:t xml:space="preserve">PART I. </w:t>
              </w:r>
            </w:hyperlink>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30">
              <w:r>
                <w:rPr>
                  <w:rStyle w:val="InternetLink"/>
                  <w:rFonts w:ascii="Arial;sans-serif" w:hAnsi="Arial;sans-serif"/>
                  <w:b w:val="false"/>
                  <w:color w:val="000080"/>
                  <w:sz w:val="20"/>
                  <w:u w:val="single"/>
                </w:rPr>
                <w:t>I</w:t>
              </w:r>
            </w:hyperlink>
            <w:hyperlink w:anchor="i8ee56d5a4deb4ee7b36a2447ff3c8ce3_630">
              <w:r>
                <w:rPr>
                  <w:rStyle w:val="InternetLink"/>
                  <w:rFonts w:ascii="Arial;sans-serif" w:hAnsi="Arial;sans-serif"/>
                  <w:b w:val="false"/>
                  <w:color w:val="000080"/>
                  <w:sz w:val="20"/>
                  <w:u w:val="single"/>
                </w:rPr>
                <w:t>tem 1. Business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30">
              <w:r>
                <w:rPr>
                  <w:rStyle w:val="InternetLink"/>
                  <w:rFonts w:ascii="Arial;sans-serif" w:hAnsi="Arial;sans-serif"/>
                  <w:b w:val="false"/>
                  <w:color w:val="0000FF"/>
                  <w:sz w:val="20"/>
                  <w:u w:val="single"/>
                </w:rPr>
                <w:t>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33">
              <w:r>
                <w:rPr>
                  <w:rStyle w:val="InternetLink"/>
                  <w:rFonts w:ascii="Arial;sans-serif" w:hAnsi="Arial;sans-serif"/>
                  <w:b w:val="false"/>
                  <w:color w:val="0000FF"/>
                  <w:sz w:val="20"/>
                  <w:u w:val="single"/>
                </w:rPr>
                <w:t>Item 1A. Risk Factors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33">
              <w:r>
                <w:rPr>
                  <w:rStyle w:val="InternetLink"/>
                  <w:rFonts w:ascii="Arial;sans-serif" w:hAnsi="Arial;sans-serif"/>
                  <w:b w:val="false"/>
                  <w:color w:val="0000FF"/>
                  <w:sz w:val="20"/>
                  <w:u w:val="single"/>
                </w:rPr>
                <w:t>13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36">
              <w:r>
                <w:rPr>
                  <w:rStyle w:val="InternetLink"/>
                  <w:rFonts w:ascii="Arial;sans-serif" w:hAnsi="Arial;sans-serif"/>
                  <w:b w:val="false"/>
                  <w:color w:val="000080"/>
                  <w:sz w:val="20"/>
                  <w:u w:val="single"/>
                </w:rPr>
                <w:t xml:space="preserve">Item 1B. </w:t>
              </w:r>
            </w:hyperlink>
            <w:hyperlink w:anchor="i8ee56d5a4deb4ee7b36a2447ff3c8ce3_636">
              <w:r>
                <w:rPr>
                  <w:rStyle w:val="InternetLink"/>
                  <w:rFonts w:ascii="Arial;sans-serif" w:hAnsi="Arial;sans-serif"/>
                  <w:b w:val="false"/>
                  <w:color w:val="000080"/>
                  <w:sz w:val="20"/>
                  <w:u w:val="single"/>
                </w:rPr>
                <w:t>Unresolved</w:t>
              </w:r>
            </w:hyperlink>
            <w:hyperlink w:anchor="i8ee56d5a4deb4ee7b36a2447ff3c8ce3_636">
              <w:r>
                <w:rPr>
                  <w:rStyle w:val="InternetLink"/>
                  <w:rFonts w:ascii="Arial;sans-serif" w:hAnsi="Arial;sans-serif"/>
                  <w:b w:val="false"/>
                  <w:color w:val="000080"/>
                  <w:sz w:val="20"/>
                  <w:u w:val="single"/>
                </w:rPr>
                <w:t xml:space="preserve"> Sta</w:t>
              </w:r>
            </w:hyperlink>
            <w:hyperlink w:anchor="i8ee56d5a4deb4ee7b36a2447ff3c8ce3_636">
              <w:r>
                <w:rPr>
                  <w:rStyle w:val="InternetLink"/>
                  <w:rFonts w:ascii="Arial;sans-serif" w:hAnsi="Arial;sans-serif"/>
                  <w:b w:val="false"/>
                  <w:color w:val="000080"/>
                  <w:sz w:val="20"/>
                  <w:u w:val="single"/>
                </w:rPr>
                <w:t>ff Comments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36">
              <w:r>
                <w:rPr>
                  <w:rStyle w:val="InternetLink"/>
                  <w:rFonts w:ascii="Arial;sans-serif" w:hAnsi="Arial;sans-serif"/>
                  <w:b w:val="false"/>
                  <w:color w:val="0000FF"/>
                  <w:sz w:val="20"/>
                  <w:u w:val="single"/>
                </w:rPr>
                <w:t>43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43">
              <w:r>
                <w:rPr>
                  <w:rStyle w:val="InternetLink"/>
                  <w:rFonts w:ascii="Arial;sans-serif" w:hAnsi="Arial;sans-serif"/>
                  <w:b w:val="false"/>
                  <w:color w:val="0000FF"/>
                  <w:sz w:val="20"/>
                  <w:u w:val="single"/>
                </w:rPr>
                <w:t>Item 1C. Cybersecurity</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43">
              <w:r>
                <w:rPr>
                  <w:rStyle w:val="InternetLink"/>
                  <w:rFonts w:ascii="Arial;sans-serif" w:hAnsi="Arial;sans-serif"/>
                  <w:b w:val="false"/>
                  <w:color w:val="0000FF"/>
                  <w:sz w:val="20"/>
                  <w:u w:val="single"/>
                </w:rPr>
                <w:t>43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50">
              <w:r>
                <w:rPr>
                  <w:rStyle w:val="InternetLink"/>
                  <w:rFonts w:ascii="Arial;sans-serif" w:hAnsi="Arial;sans-serif"/>
                  <w:b w:val="false"/>
                  <w:color w:val="000080"/>
                  <w:sz w:val="20"/>
                  <w:u w:val="single"/>
                </w:rPr>
                <w:t>I</w:t>
              </w:r>
            </w:hyperlink>
            <w:hyperlink w:anchor="i8ee56d5a4deb4ee7b36a2447ff3c8ce3_650">
              <w:r>
                <w:rPr>
                  <w:rStyle w:val="InternetLink"/>
                  <w:rFonts w:ascii="Arial;sans-serif" w:hAnsi="Arial;sans-serif"/>
                  <w:b w:val="false"/>
                  <w:color w:val="000080"/>
                  <w:sz w:val="20"/>
                  <w:u w:val="single"/>
                </w:rPr>
                <w:t xml:space="preserve">tem 2. </w:t>
              </w:r>
            </w:hyperlink>
            <w:hyperlink w:anchor="i8ee56d5a4deb4ee7b36a2447ff3c8ce3_650">
              <w:r>
                <w:rPr>
                  <w:rStyle w:val="InternetLink"/>
                  <w:rFonts w:ascii="Arial;sans-serif" w:hAnsi="Arial;sans-serif"/>
                  <w:b w:val="false"/>
                  <w:color w:val="000080"/>
                  <w:sz w:val="20"/>
                  <w:u w:val="single"/>
                </w:rPr>
                <w:t>Properties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50">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30">
              <w:r>
                <w:rPr>
                  <w:rStyle w:val="InternetLink"/>
                  <w:rFonts w:ascii="Arial;sans-serif" w:hAnsi="Arial;sans-serif"/>
                  <w:b w:val="false"/>
                  <w:color w:val="0000FF"/>
                  <w:sz w:val="20"/>
                  <w:u w:val="single"/>
                </w:rPr>
                <w:t>Item 3. Legal Proceedings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30">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42">
              <w:r>
                <w:rPr>
                  <w:rStyle w:val="InternetLink"/>
                  <w:rFonts w:ascii="Arial;sans-serif" w:hAnsi="Arial;sans-serif"/>
                  <w:b w:val="false"/>
                  <w:color w:val="0000FF"/>
                  <w:sz w:val="20"/>
                  <w:u w:val="single"/>
                </w:rPr>
                <w:t>Item 4. Mine Safety Disclosures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42">
              <w:r>
                <w:rPr>
                  <w:rStyle w:val="InternetLink"/>
                  <w:rFonts w:ascii="Arial;sans-serif" w:hAnsi="Arial;sans-serif"/>
                  <w:b w:val="false"/>
                  <w:color w:val="0000FF"/>
                  <w:sz w:val="20"/>
                  <w:u w:val="single"/>
                </w:rPr>
                <w:t>45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27">
              <w:r>
                <w:rPr>
                  <w:rStyle w:val="InternetLink"/>
                  <w:rFonts w:ascii="Arial;sans-serif" w:hAnsi="Arial;sans-serif"/>
                  <w:b w:val="false"/>
                  <w:color w:val="0000FF"/>
                  <w:sz w:val="20"/>
                  <w:u w:val="single"/>
                </w:rPr>
                <w:t xml:space="preserve">PART II. </w:t>
              </w:r>
            </w:hyperlink>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82">
              <w:r>
                <w:rPr>
                  <w:rStyle w:val="InternetLink"/>
                  <w:rFonts w:ascii="Arial;sans-serif" w:hAnsi="Arial;sans-serif"/>
                  <w:b w:val="false"/>
                  <w:color w:val="000080"/>
                  <w:sz w:val="20"/>
                  <w:u w:val="single"/>
                </w:rPr>
                <w:t>Item 5. Market for Registrant’s Common Equity, Related Stockholder Matters and Issuer Purchases</w:t>
              </w:r>
            </w:hyperlink>
            <w:hyperlink w:anchor="i8ee56d5a4deb4ee7b36a2447ff3c8ce3_682">
              <w:r>
                <w:rPr>
                  <w:rStyle w:val="InternetLink"/>
                  <w:rFonts w:ascii="Arial;sans-serif" w:hAnsi="Arial;sans-serif"/>
                  <w:b w:val="false"/>
                  <w:color w:val="000080"/>
                  <w:sz w:val="20"/>
                  <w:u w:val="single"/>
                </w:rPr>
                <w:t xml:space="preserve"> of E</w:t>
              </w:r>
            </w:hyperlink>
            <w:hyperlink w:anchor="i8ee56d5a4deb4ee7b36a2447ff3c8ce3_682">
              <w:r>
                <w:rPr>
                  <w:rStyle w:val="InternetLink"/>
                  <w:rFonts w:ascii="Arial;sans-serif" w:hAnsi="Arial;sans-serif"/>
                  <w:b w:val="false"/>
                  <w:color w:val="000080"/>
                  <w:sz w:val="20"/>
                  <w:u w:val="single"/>
                </w:rPr>
                <w:t>quity Securities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82">
              <w:r>
                <w:rPr>
                  <w:rStyle w:val="InternetLink"/>
                  <w:rFonts w:ascii="Arial;sans-serif" w:hAnsi="Arial;sans-serif"/>
                  <w:b w:val="false"/>
                  <w:color w:val="0000FF"/>
                  <w:sz w:val="20"/>
                  <w:u w:val="single"/>
                </w:rPr>
                <w:t>46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88">
              <w:r>
                <w:rPr>
                  <w:rStyle w:val="InternetLink"/>
                  <w:rFonts w:ascii="Arial;sans-serif" w:hAnsi="Arial;sans-serif"/>
                  <w:b w:val="false"/>
                  <w:color w:val="000080"/>
                  <w:sz w:val="20"/>
                  <w:u w:val="single"/>
                </w:rPr>
                <w:t>I</w:t>
              </w:r>
            </w:hyperlink>
            <w:hyperlink w:anchor="i8ee56d5a4deb4ee7b36a2447ff3c8ce3_688">
              <w:r>
                <w:rPr>
                  <w:rStyle w:val="InternetLink"/>
                  <w:rFonts w:ascii="Arial;sans-serif" w:hAnsi="Arial;sans-serif"/>
                  <w:b w:val="false"/>
                  <w:color w:val="000080"/>
                  <w:sz w:val="20"/>
                  <w:u w:val="single"/>
                </w:rPr>
                <w:t xml:space="preserve">tem 6. </w:t>
              </w:r>
            </w:hyperlink>
            <w:hyperlink w:anchor="i8ee56d5a4deb4ee7b36a2447ff3c8ce3_688">
              <w:r>
                <w:rPr>
                  <w:rStyle w:val="InternetLink"/>
                  <w:rFonts w:ascii="Arial;sans-serif" w:hAnsi="Arial;sans-serif"/>
                  <w:b w:val="false"/>
                  <w:color w:val="000080"/>
                  <w:sz w:val="20"/>
                  <w:u w:val="single"/>
                </w:rPr>
                <w:t>[Reserved]</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88">
              <w:r>
                <w:rPr>
                  <w:rStyle w:val="InternetLink"/>
                  <w:rFonts w:ascii="Arial;sans-serif" w:hAnsi="Arial;sans-serif"/>
                  <w:b w:val="false"/>
                  <w:color w:val="0000FF"/>
                  <w:sz w:val="20"/>
                  <w:u w:val="single"/>
                </w:rPr>
                <w:t>47</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88">
              <w:r>
                <w:rPr>
                  <w:rStyle w:val="InternetLink"/>
                  <w:rFonts w:ascii="Arial;sans-serif" w:hAnsi="Arial;sans-serif"/>
                  <w:b w:val="false"/>
                  <w:color w:val="0000FF"/>
                  <w:sz w:val="20"/>
                  <w:u w:val="single"/>
                </w:rPr>
                <w:t>Item 7. Management's Discussion and Analysis of Financial Condition and Results of Operations </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88">
              <w:r>
                <w:rPr>
                  <w:rStyle w:val="InternetLink"/>
                  <w:rFonts w:ascii="Arial;sans-serif" w:hAnsi="Arial;sans-serif"/>
                  <w:b w:val="false"/>
                  <w:color w:val="0000FF"/>
                  <w:sz w:val="20"/>
                  <w:u w:val="single"/>
                </w:rPr>
                <w:t>48</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21">
              <w:r>
                <w:rPr>
                  <w:rStyle w:val="InternetLink"/>
                  <w:rFonts w:ascii="Arial;sans-serif" w:hAnsi="Arial;sans-serif"/>
                  <w:b w:val="false"/>
                  <w:color w:val="0000FF"/>
                  <w:sz w:val="20"/>
                  <w:u w:val="single"/>
                </w:rPr>
                <w:t>Item 7A. Qualitative and Quantitative Disclosures about Market Risk</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21">
              <w:r>
                <w:rPr>
                  <w:rStyle w:val="InternetLink"/>
                  <w:rFonts w:ascii="Arial;sans-serif" w:hAnsi="Arial;sans-serif"/>
                  <w:b w:val="false"/>
                  <w:color w:val="0000FF"/>
                  <w:sz w:val="20"/>
                  <w:u w:val="single"/>
                </w:rPr>
                <w:t>67</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9">
              <w:r>
                <w:rPr>
                  <w:rStyle w:val="InternetLink"/>
                  <w:rFonts w:ascii="Arial;sans-serif" w:hAnsi="Arial;sans-serif"/>
                  <w:b w:val="false"/>
                  <w:color w:val="0000FF"/>
                  <w:sz w:val="20"/>
                  <w:u w:val="single"/>
                </w:rPr>
                <w:t>Item 8. Financial Statements and Supplementary Data</w:t>
              </w:r>
            </w:hyperlink>
            <w:r>
              <w:rPr>
                <w:color w:val="000000"/>
              </w:rPr>
              <w:t xml:space="preserv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9">
              <w:r>
                <w:rPr>
                  <w:rStyle w:val="InternetLink"/>
                  <w:rFonts w:ascii="Arial;sans-serif" w:hAnsi="Arial;sans-serif"/>
                  <w:b w:val="false"/>
                  <w:color w:val="0000FF"/>
                  <w:sz w:val="20"/>
                  <w:u w:val="single"/>
                </w:rPr>
                <w:t>68</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2">
              <w:r>
                <w:rPr>
                  <w:rStyle w:val="InternetLink"/>
                  <w:rFonts w:ascii="Arial;sans-serif" w:hAnsi="Arial;sans-serif"/>
                  <w:b w:val="false"/>
                  <w:color w:val="0000FF"/>
                  <w:sz w:val="20"/>
                  <w:u w:val="single"/>
                </w:rPr>
                <w:t>Consolidated Balance Sheets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2">
              <w:r>
                <w:rPr>
                  <w:rStyle w:val="InternetLink"/>
                  <w:rFonts w:ascii="Arial;sans-serif" w:hAnsi="Arial;sans-serif"/>
                  <w:b w:val="false"/>
                  <w:color w:val="0000FF"/>
                  <w:sz w:val="20"/>
                  <w:u w:val="single"/>
                </w:rPr>
                <w:t>71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5">
              <w:r>
                <w:rPr>
                  <w:rStyle w:val="InternetLink"/>
                  <w:rFonts w:ascii="Arial;sans-serif" w:hAnsi="Arial;sans-serif"/>
                  <w:b w:val="false"/>
                  <w:color w:val="0000FF"/>
                  <w:sz w:val="20"/>
                  <w:u w:val="single"/>
                </w:rPr>
                <w:t>Consolidated Statements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5">
              <w:r>
                <w:rPr>
                  <w:rStyle w:val="InternetLink"/>
                  <w:rFonts w:ascii="Arial;sans-serif" w:hAnsi="Arial;sans-serif"/>
                  <w:b w:val="false"/>
                  <w:color w:val="0000FF"/>
                  <w:sz w:val="20"/>
                  <w:u w:val="single"/>
                </w:rPr>
                <w:t>72</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8">
              <w:r>
                <w:rPr>
                  <w:rStyle w:val="InternetLink"/>
                  <w:rFonts w:ascii="Arial;sans-serif" w:hAnsi="Arial;sans-serif"/>
                  <w:b w:val="false"/>
                  <w:color w:val="0000FF"/>
                  <w:sz w:val="20"/>
                  <w:u w:val="single"/>
                </w:rPr>
                <w:t>Consolidated Statements of Comprehensive Loss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8">
              <w:r>
                <w:rPr>
                  <w:rStyle w:val="InternetLink"/>
                  <w:rFonts w:ascii="Arial;sans-serif" w:hAnsi="Arial;sans-serif"/>
                  <w:b w:val="false"/>
                  <w:color w:val="0000FF"/>
                  <w:sz w:val="20"/>
                  <w:u w:val="single"/>
                </w:rPr>
                <w:t>73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1">
              <w:r>
                <w:rPr>
                  <w:rStyle w:val="InternetLink"/>
                  <w:rFonts w:ascii="Arial;sans-serif" w:hAnsi="Arial;sans-serif"/>
                  <w:b w:val="false"/>
                  <w:color w:val="000080"/>
                  <w:sz w:val="20"/>
                  <w:u w:val="single"/>
                </w:rPr>
                <w:t xml:space="preserve">Consolidated Statements </w:t>
              </w:r>
            </w:hyperlink>
            <w:hyperlink w:anchor="i8ee56d5a4deb4ee7b36a2447ff3c8ce3_31">
              <w:r>
                <w:rPr>
                  <w:rStyle w:val="InternetLink"/>
                  <w:rFonts w:ascii="Arial;sans-serif" w:hAnsi="Arial;sans-serif"/>
                  <w:b w:val="false"/>
                  <w:color w:val="000080"/>
                  <w:sz w:val="20"/>
                  <w:u w:val="single"/>
                </w:rPr>
                <w:t xml:space="preserve">Redeemable </w:t>
              </w:r>
            </w:hyperlink>
            <w:hyperlink w:anchor="i8ee56d5a4deb4ee7b36a2447ff3c8ce3_31">
              <w:r>
                <w:rPr>
                  <w:rStyle w:val="InternetLink"/>
                  <w:rFonts w:ascii="Arial;sans-serif" w:hAnsi="Arial;sans-serif"/>
                  <w:b w:val="false"/>
                  <w:color w:val="000080"/>
                  <w:sz w:val="20"/>
                  <w:u w:val="single"/>
                </w:rPr>
                <w:t>Convertible</w:t>
              </w:r>
            </w:hyperlink>
            <w:hyperlink w:anchor="i8ee56d5a4deb4ee7b36a2447ff3c8ce3_31">
              <w:r>
                <w:rPr>
                  <w:rStyle w:val="InternetLink"/>
                  <w:rFonts w:ascii="Arial;sans-serif" w:hAnsi="Arial;sans-serif"/>
                  <w:b w:val="false"/>
                  <w:color w:val="000080"/>
                  <w:sz w:val="20"/>
                  <w:u w:val="single"/>
                </w:rPr>
                <w:t xml:space="preserve"> Preferred Stock and</w:t>
              </w:r>
            </w:hyperlink>
            <w:hyperlink w:anchor="i8ee56d5a4deb4ee7b36a2447ff3c8ce3_31">
              <w:r>
                <w:rPr>
                  <w:rStyle w:val="InternetLink"/>
                  <w:rFonts w:ascii="Arial;sans-serif" w:hAnsi="Arial;sans-serif"/>
                  <w:b w:val="false"/>
                  <w:color w:val="000080"/>
                  <w:sz w:val="20"/>
                  <w:u w:val="single"/>
                </w:rPr>
                <w:t xml:space="preserve"> </w:t>
              </w:r>
            </w:hyperlink>
            <w:hyperlink w:anchor="i8ee56d5a4deb4ee7b36a2447ff3c8ce3_31">
              <w:r>
                <w:rPr>
                  <w:rStyle w:val="InternetLink"/>
                  <w:rFonts w:ascii="Arial;sans-serif" w:hAnsi="Arial;sans-serif"/>
                  <w:b w:val="false"/>
                  <w:color w:val="000080"/>
                  <w:sz w:val="20"/>
                  <w:u w:val="single"/>
                </w:rPr>
                <w:t>Stockholders’ Equity (Deficit)</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1">
              <w:r>
                <w:rPr>
                  <w:rStyle w:val="InternetLink"/>
                  <w:rFonts w:ascii="Arial;sans-serif" w:hAnsi="Arial;sans-serif"/>
                  <w:b w:val="false"/>
                  <w:color w:val="0000FF"/>
                  <w:sz w:val="20"/>
                  <w:u w:val="single"/>
                </w:rPr>
                <w:t>74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4">
              <w:r>
                <w:rPr>
                  <w:rStyle w:val="InternetLink"/>
                  <w:rFonts w:ascii="Arial;sans-serif" w:hAnsi="Arial;sans-serif"/>
                  <w:b w:val="false"/>
                  <w:color w:val="0000FF"/>
                  <w:sz w:val="20"/>
                  <w:u w:val="single"/>
                </w:rPr>
                <w:t>Consolidated Statements of Cash Flows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4">
              <w:r>
                <w:rPr>
                  <w:rStyle w:val="InternetLink"/>
                  <w:rFonts w:ascii="Arial;sans-serif" w:hAnsi="Arial;sans-serif"/>
                  <w:b w:val="false"/>
                  <w:color w:val="0000FF"/>
                  <w:sz w:val="20"/>
                  <w:u w:val="single"/>
                </w:rPr>
                <w:t>75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7">
              <w:r>
                <w:rPr>
                  <w:rStyle w:val="InternetLink"/>
                  <w:rFonts w:ascii="Arial;sans-serif" w:hAnsi="Arial;sans-serif"/>
                  <w:b w:val="false"/>
                  <w:color w:val="0000FF"/>
                  <w:sz w:val="20"/>
                  <w:u w:val="single"/>
                </w:rPr>
                <w:t>Notes to Consolidated 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7">
              <w:r>
                <w:rPr>
                  <w:rStyle w:val="InternetLink"/>
                  <w:rFonts w:ascii="Arial;sans-serif" w:hAnsi="Arial;sans-serif"/>
                  <w:b w:val="false"/>
                  <w:color w:val="0000FF"/>
                  <w:sz w:val="20"/>
                  <w:u w:val="single"/>
                </w:rPr>
                <w:t>77</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99">
              <w:r>
                <w:rPr>
                  <w:rStyle w:val="InternetLink"/>
                  <w:rFonts w:ascii="Arial;sans-serif" w:hAnsi="Arial;sans-serif"/>
                  <w:b w:val="false"/>
                  <w:color w:val="000080"/>
                  <w:sz w:val="20"/>
                  <w:u w:val="single"/>
                </w:rPr>
                <w:t>I</w:t>
              </w:r>
            </w:hyperlink>
            <w:hyperlink w:anchor="i8ee56d5a4deb4ee7b36a2447ff3c8ce3_699">
              <w:r>
                <w:rPr>
                  <w:rStyle w:val="InternetLink"/>
                  <w:rFonts w:ascii="Arial;sans-serif" w:hAnsi="Arial;sans-serif"/>
                  <w:b w:val="false"/>
                  <w:color w:val="000080"/>
                  <w:sz w:val="20"/>
                  <w:u w:val="single"/>
                </w:rPr>
                <w:t xml:space="preserve">tem 9. Changes in and Disagreements </w:t>
              </w:r>
            </w:hyperlink>
            <w:hyperlink w:anchor="i8ee56d5a4deb4ee7b36a2447ff3c8ce3_699">
              <w:r>
                <w:rPr>
                  <w:rStyle w:val="InternetLink"/>
                  <w:rFonts w:ascii="Arial;sans-serif" w:hAnsi="Arial;sans-serif"/>
                  <w:b w:val="false"/>
                  <w:color w:val="000080"/>
                  <w:sz w:val="20"/>
                  <w:u w:val="single"/>
                </w:rPr>
                <w:t>W</w:t>
              </w:r>
            </w:hyperlink>
            <w:hyperlink w:anchor="i8ee56d5a4deb4ee7b36a2447ff3c8ce3_699">
              <w:r>
                <w:rPr>
                  <w:rStyle w:val="InternetLink"/>
                  <w:rFonts w:ascii="Arial;sans-serif" w:hAnsi="Arial;sans-serif"/>
                  <w:b w:val="false"/>
                  <w:color w:val="000080"/>
                  <w:sz w:val="20"/>
                  <w:u w:val="single"/>
                </w:rPr>
                <w:t>ith</w:t>
              </w:r>
            </w:hyperlink>
            <w:hyperlink w:anchor="i8ee56d5a4deb4ee7b36a2447ff3c8ce3_699">
              <w:r>
                <w:rPr>
                  <w:rStyle w:val="InternetLink"/>
                  <w:rFonts w:ascii="Arial;sans-serif" w:hAnsi="Arial;sans-serif"/>
                  <w:b w:val="false"/>
                  <w:color w:val="000080"/>
                  <w:sz w:val="20"/>
                  <w:u w:val="single"/>
                </w:rPr>
                <w:t xml:space="preserve"> Accountants on Accounting a</w:t>
              </w:r>
            </w:hyperlink>
            <w:hyperlink w:anchor="i8ee56d5a4deb4ee7b36a2447ff3c8ce3_699">
              <w:r>
                <w:rPr>
                  <w:rStyle w:val="InternetLink"/>
                  <w:rFonts w:ascii="Arial;sans-serif" w:hAnsi="Arial;sans-serif"/>
                  <w:b w:val="false"/>
                  <w:color w:val="000080"/>
                  <w:sz w:val="20"/>
                  <w:u w:val="single"/>
                </w:rPr>
                <w:t>n</w:t>
              </w:r>
            </w:hyperlink>
            <w:hyperlink w:anchor="i8ee56d5a4deb4ee7b36a2447ff3c8ce3_699">
              <w:r>
                <w:rPr>
                  <w:rStyle w:val="InternetLink"/>
                  <w:rFonts w:ascii="Arial;sans-serif" w:hAnsi="Arial;sans-serif"/>
                  <w:b w:val="false"/>
                  <w:color w:val="000080"/>
                  <w:sz w:val="20"/>
                  <w:u w:val="single"/>
                </w:rPr>
                <w:t>d</w:t>
              </w:r>
            </w:hyperlink>
            <w:hyperlink w:anchor="i8ee56d5a4deb4ee7b36a2447ff3c8ce3_699">
              <w:r>
                <w:rPr>
                  <w:rStyle w:val="InternetLink"/>
                  <w:rFonts w:ascii="Arial;sans-serif" w:hAnsi="Arial;sans-serif"/>
                  <w:b w:val="false"/>
                  <w:color w:val="000080"/>
                  <w:sz w:val="20"/>
                  <w:u w:val="single"/>
                </w:rPr>
                <w:t xml:space="preserve"> Financial Disclosure</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699">
              <w:r>
                <w:rPr>
                  <w:rStyle w:val="InternetLink"/>
                  <w:rFonts w:ascii="Arial;sans-serif" w:hAnsi="Arial;sans-serif"/>
                  <w:b w:val="false"/>
                  <w:color w:val="0000FF"/>
                  <w:sz w:val="20"/>
                  <w:u w:val="single"/>
                </w:rPr>
                <w:t>108</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24">
              <w:r>
                <w:rPr>
                  <w:rStyle w:val="InternetLink"/>
                  <w:rFonts w:ascii="Arial;sans-serif" w:hAnsi="Arial;sans-serif"/>
                  <w:b w:val="false"/>
                  <w:color w:val="0000FF"/>
                  <w:sz w:val="20"/>
                  <w:u w:val="single"/>
                </w:rPr>
                <w:t>Item 9A. Controls and Procedures </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24">
              <w:r>
                <w:rPr>
                  <w:rStyle w:val="InternetLink"/>
                  <w:rFonts w:ascii="Arial;sans-serif" w:hAnsi="Arial;sans-serif"/>
                  <w:b w:val="false"/>
                  <w:color w:val="0000FF"/>
                  <w:sz w:val="20"/>
                  <w:u w:val="single"/>
                </w:rPr>
                <w:t>108</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145">
              <w:r>
                <w:rPr>
                  <w:rStyle w:val="InternetLink"/>
                  <w:rFonts w:ascii="Arial;sans-serif" w:hAnsi="Arial;sans-serif"/>
                  <w:b w:val="false"/>
                  <w:color w:val="0000FF"/>
                  <w:sz w:val="20"/>
                  <w:u w:val="single"/>
                </w:rPr>
                <w:t>Item 9B. Other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45">
              <w:r>
                <w:rPr>
                  <w:rStyle w:val="InternetLink"/>
                  <w:rFonts w:ascii="Arial;sans-serif" w:hAnsi="Arial;sans-serif"/>
                  <w:b w:val="false"/>
                  <w:color w:val="0000FF"/>
                  <w:sz w:val="20"/>
                  <w:u w:val="single"/>
                </w:rPr>
                <w:t>110</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10">
              <w:r>
                <w:rPr>
                  <w:rStyle w:val="InternetLink"/>
                  <w:rFonts w:ascii="Arial;sans-serif" w:hAnsi="Arial;sans-serif"/>
                  <w:b w:val="false"/>
                  <w:color w:val="000080"/>
                  <w:sz w:val="20"/>
                  <w:u w:val="single"/>
                </w:rPr>
                <w:t xml:space="preserve">Item 9C. </w:t>
              </w:r>
            </w:hyperlink>
            <w:hyperlink w:anchor="i8ee56d5a4deb4ee7b36a2447ff3c8ce3_710">
              <w:r>
                <w:rPr>
                  <w:rStyle w:val="InternetLink"/>
                  <w:rFonts w:ascii="Arial;sans-serif" w:hAnsi="Arial;sans-serif"/>
                  <w:b w:val="false"/>
                  <w:color w:val="000080"/>
                  <w:sz w:val="20"/>
                  <w:u w:val="single"/>
                </w:rPr>
                <w:t>Disclosure Regarding Foreign Jurisdictions that Prevent Inspections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45">
              <w:r>
                <w:rPr>
                  <w:rStyle w:val="InternetLink"/>
                  <w:rFonts w:ascii="Arial;sans-serif" w:hAnsi="Arial;sans-serif"/>
                  <w:b w:val="false"/>
                  <w:color w:val="0000FF"/>
                  <w:sz w:val="20"/>
                  <w:u w:val="single"/>
                </w:rPr>
                <w:t>110</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666">
              <w:r>
                <w:rPr>
                  <w:rStyle w:val="InternetLink"/>
                  <w:rFonts w:ascii="Arial;sans-serif" w:hAnsi="Arial;sans-serif"/>
                  <w:b w:val="false"/>
                  <w:color w:val="0000FF"/>
                  <w:sz w:val="20"/>
                  <w:u w:val="single"/>
                </w:rPr>
                <w:t>PART III.</w:t>
              </w:r>
            </w:hyperlink>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18">
              <w:r>
                <w:rPr>
                  <w:rStyle w:val="InternetLink"/>
                  <w:rFonts w:ascii="Arial;sans-serif" w:hAnsi="Arial;sans-serif"/>
                  <w:b w:val="false"/>
                  <w:color w:val="000080"/>
                  <w:sz w:val="20"/>
                  <w:u w:val="single"/>
                </w:rPr>
                <w:t>Item 10. Directors, Executive Offi</w:t>
              </w:r>
            </w:hyperlink>
            <w:hyperlink w:anchor="i8ee56d5a4deb4ee7b36a2447ff3c8ce3_718">
              <w:r>
                <w:rPr>
                  <w:rStyle w:val="InternetLink"/>
                  <w:rFonts w:ascii="Arial;sans-serif" w:hAnsi="Arial;sans-serif"/>
                  <w:b w:val="false"/>
                  <w:color w:val="000080"/>
                  <w:sz w:val="20"/>
                  <w:u w:val="single"/>
                </w:rPr>
                <w:t>cers and Corporate Governance</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18">
              <w:r>
                <w:rPr>
                  <w:rStyle w:val="InternetLink"/>
                  <w:rFonts w:ascii="Arial;sans-serif" w:hAnsi="Arial;sans-serif"/>
                  <w:b w:val="false"/>
                  <w:color w:val="0000FF"/>
                  <w:sz w:val="20"/>
                  <w:u w:val="single"/>
                </w:rPr>
                <w:t>111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24">
              <w:r>
                <w:rPr>
                  <w:rStyle w:val="InternetLink"/>
                  <w:rFonts w:ascii="Arial;sans-serif" w:hAnsi="Arial;sans-serif"/>
                  <w:b w:val="false"/>
                  <w:color w:val="0000FF"/>
                  <w:sz w:val="20"/>
                  <w:u w:val="single"/>
                </w:rPr>
                <w:t>Item 11. Executive Compensation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24">
              <w:r>
                <w:rPr>
                  <w:rStyle w:val="InternetLink"/>
                  <w:rFonts w:ascii="Arial;sans-serif" w:hAnsi="Arial;sans-serif"/>
                  <w:b w:val="false"/>
                  <w:color w:val="0000FF"/>
                  <w:sz w:val="20"/>
                  <w:u w:val="single"/>
                </w:rPr>
                <w:t>111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31">
              <w:r>
                <w:rPr>
                  <w:rStyle w:val="InternetLink"/>
                  <w:rFonts w:ascii="Arial;sans-serif" w:hAnsi="Arial;sans-serif"/>
                  <w:b w:val="false"/>
                  <w:color w:val="000080"/>
                  <w:sz w:val="20"/>
                  <w:u w:val="single"/>
                </w:rPr>
                <w:t>Item 12. Security Ownership of Certain Benefi</w:t>
              </w:r>
            </w:hyperlink>
            <w:hyperlink w:anchor="i8ee56d5a4deb4ee7b36a2447ff3c8ce3_731">
              <w:r>
                <w:rPr>
                  <w:rStyle w:val="InternetLink"/>
                  <w:rFonts w:ascii="Arial;sans-serif" w:hAnsi="Arial;sans-serif"/>
                  <w:b w:val="false"/>
                  <w:color w:val="000080"/>
                  <w:sz w:val="20"/>
                  <w:u w:val="single"/>
                </w:rPr>
                <w:t>cial Owners and Management and Related Stockholder Matters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31">
              <w:r>
                <w:rPr>
                  <w:rStyle w:val="InternetLink"/>
                  <w:rFonts w:ascii="Arial;sans-serif" w:hAnsi="Arial;sans-serif"/>
                  <w:b w:val="false"/>
                  <w:color w:val="0000FF"/>
                  <w:sz w:val="20"/>
                  <w:u w:val="single"/>
                </w:rPr>
                <w:t>111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40">
              <w:r>
                <w:rPr>
                  <w:rStyle w:val="InternetLink"/>
                  <w:rFonts w:ascii="Arial;sans-serif" w:hAnsi="Arial;sans-serif"/>
                  <w:b w:val="false"/>
                  <w:color w:val="0000FF"/>
                  <w:sz w:val="20"/>
                  <w:u w:val="single"/>
                </w:rPr>
                <w:t>Item 13. Certain Relationships and Related Transactions, and Director Independence</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40">
              <w:r>
                <w:rPr>
                  <w:rStyle w:val="InternetLink"/>
                  <w:rFonts w:ascii="Arial;sans-serif" w:hAnsi="Arial;sans-serif"/>
                  <w:b w:val="false"/>
                  <w:color w:val="0000FF"/>
                  <w:sz w:val="20"/>
                  <w:u w:val="single"/>
                </w:rPr>
                <w:t>111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47">
              <w:r>
                <w:rPr>
                  <w:rStyle w:val="InternetLink"/>
                  <w:rFonts w:ascii="Arial;sans-serif" w:hAnsi="Arial;sans-serif"/>
                  <w:b w:val="false"/>
                  <w:color w:val="0000FF"/>
                  <w:sz w:val="20"/>
                  <w:u w:val="single"/>
                </w:rPr>
                <w:t>Item 14. Principal Accountant Fees and Services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47">
              <w:r>
                <w:rPr>
                  <w:rStyle w:val="InternetLink"/>
                  <w:rFonts w:ascii="Arial;sans-serif" w:hAnsi="Arial;sans-serif"/>
                  <w:b w:val="false"/>
                  <w:color w:val="0000FF"/>
                  <w:sz w:val="20"/>
                  <w:u w:val="single"/>
                </w:rPr>
                <w:t>111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777">
              <w:r>
                <w:rPr>
                  <w:rStyle w:val="InternetLink"/>
                  <w:rFonts w:ascii="Arial;sans-serif" w:hAnsi="Arial;sans-serif"/>
                  <w:b w:val="false"/>
                  <w:color w:val="000080"/>
                  <w:sz w:val="20"/>
                  <w:u w:val="single"/>
                </w:rPr>
                <w:t>P</w:t>
              </w:r>
            </w:hyperlink>
            <w:hyperlink w:anchor="i8ee56d5a4deb4ee7b36a2447ff3c8ce3_777">
              <w:r>
                <w:rPr>
                  <w:rStyle w:val="InternetLink"/>
                  <w:rFonts w:ascii="Arial;sans-serif" w:hAnsi="Arial;sans-serif"/>
                  <w:b w:val="false"/>
                  <w:color w:val="000080"/>
                  <w:sz w:val="20"/>
                  <w:u w:val="single"/>
                </w:rPr>
                <w:t>ART IV.</w:t>
              </w:r>
            </w:hyperlink>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e56d5a4deb4ee7b36a2447ff3c8ce3_148">
              <w:r>
                <w:rPr>
                  <w:rStyle w:val="InternetLink"/>
                  <w:rFonts w:ascii="Arial;sans-serif" w:hAnsi="Arial;sans-serif"/>
                  <w:b w:val="false"/>
                  <w:color w:val="0000FF"/>
                  <w:sz w:val="20"/>
                  <w:u w:val="single"/>
                </w:rPr>
                <w:t>Item 15. Exhibit and Financial Statement Schedules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48">
              <w:r>
                <w:rPr>
                  <w:rStyle w:val="InternetLink"/>
                  <w:rFonts w:ascii="Arial;sans-serif" w:hAnsi="Arial;sans-serif"/>
                  <w:b w:val="false"/>
                  <w:color w:val="0000FF"/>
                  <w:sz w:val="20"/>
                  <w:u w:val="single"/>
                </w:rPr>
                <w:t>112</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e56d5a4deb4ee7b36a2447ff3c8ce3_761">
              <w:r>
                <w:rPr>
                  <w:rStyle w:val="InternetLink"/>
                  <w:rFonts w:ascii="Arial;sans-serif" w:hAnsi="Arial;sans-serif"/>
                  <w:b w:val="false"/>
                  <w:color w:val="0000FF"/>
                  <w:sz w:val="20"/>
                  <w:u w:val="single"/>
                </w:rPr>
                <w:t>Item 16. Form 10-K Summary</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761">
              <w:r>
                <w:rPr>
                  <w:rStyle w:val="InternetLink"/>
                  <w:rFonts w:ascii="Arial;sans-serif" w:hAnsi="Arial;sans-serif"/>
                  <w:b w:val="false"/>
                  <w:color w:val="0000FF"/>
                  <w:sz w:val="20"/>
                  <w:u w:val="single"/>
                </w:rPr>
                <w:t>116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ee56d5a4deb4ee7b36a2447ff3c8ce3_151">
              <w:r>
                <w:rPr>
                  <w:rStyle w:val="InternetLink"/>
                  <w:rFonts w:ascii="Arial;sans-serif" w:hAnsi="Arial;sans-serif"/>
                  <w:b w:val="false"/>
                  <w:color w:val="0000FF"/>
                  <w:sz w:val="20"/>
                  <w:u w:val="single"/>
                </w:rPr>
                <w:t>Signatures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151">
              <w:r>
                <w:rPr>
                  <w:rStyle w:val="InternetLink"/>
                  <w:rFonts w:ascii="Arial;sans-serif" w:hAnsi="Arial;sans-serif"/>
                  <w:b w:val="false"/>
                  <w:color w:val="0000FF"/>
                  <w:sz w:val="20"/>
                  <w:u w:val="single"/>
                </w:rPr>
                <w:t>117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Summary of risk factors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We have a history of losses, and we may not be able to generate sufficient revenue to achieve or maintain profitability in the future.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We operate in an emerging and dynamic market, which makes it difficult to evaluate our future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results of operations may fluctuate significantly from period to period due to a wide range of factors, which makes our future results difficult to predict.</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rapid growth may not be sustainable and depends on our ability to attract new learners, instructors, and organizations and retain existing ones.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If we fail to maintain and expand our relationships with Udemy Business (“UB” or “Enterprise”) customers, our ability to grow our business and revenue will suffer.</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operate in a highly competitive market, and we may not be able to compete successfully against current and future competitors.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The market for online learning solutions is relatively new and may not grow as we expect, which may harm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Adherence to our values and our focus on long-term sustainability may negatively impact our short- or medium-term financial performance.</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Failure to effectively leverage our strategic partnerships to market and sell our products could impact our ability to increase brand awareness and grow our revenue.</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may be unable to adequately obtain, maintain, protect, and enforce our intellectual property and proprietary information, which could adversely affect our business, financial condition, and results of operations.</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We could face liability, or our reputation might be harmed, as a result of courses posted to our platform.</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Intellectual property litigation, including litigation related to content available on our platform, could result in significant costs and adversely affect our business, financial condition, results of operations, and reputation.</w:t>
      </w:r>
    </w:p>
    <w:p>
      <w:pPr>
        <w:pStyle w:val="TextBody"/>
        <w:bidi w:val="0"/>
        <w:spacing w:lineRule="auto" w:line="288" w:before="120" w:after="283"/>
        <w:ind w:left="0" w:right="0" w:hanging="360"/>
        <w:jc w:val="left"/>
        <w:rPr>
          <w:color w:val="000000"/>
        </w:rPr>
      </w:pPr>
      <w:r>
        <w:rPr>
          <w:color w:val="000000"/>
        </w:rPr>
        <w:t>•     </w:t>
      </w:r>
      <w:r>
        <w:rPr>
          <w:rFonts w:ascii="Arial;sans-serif" w:hAnsi="Arial;sans-serif"/>
          <w:b w:val="false"/>
          <w:color w:val="000000"/>
          <w:sz w:val="18"/>
        </w:rPr>
        <w:t>The trading price of our common stock may be volatile,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Special note regarding forward-looking statements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This Annual Report on Form 10-K (“Form 10-K”) contains forward-looking statements within the meaning of the Private Securities Litigation Reform Act of 1995. All statements other than statements of historical facts contained in this Form 10-K,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that concern our expectations, strategy, plans or intentions. Forward-looking statements contained in this Form 10-K include, but are not limited to, statements about: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regarding our financial and operating performance, including our expectations regarding our revenue, costs, monthly average buyers, number of Udemy Business (“UB”) customers, UB Annual Recurring Revenue, UB Net Dollar Retention Rate, UB Large Customer Net Dollar Retention Rate, segment revenue, segment gross profit, adjusted EBITDA, and adjusted EBITDA margin;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execute our business and growth strategy;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attract and retain learners, instructors, and enterprise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timing, impact, and success of new features, integrations, capabilities, and other platform enhancements by us, or by our competitors to their offerings, or any other changes in the competitive landscape of our markets and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anticipated trends, developments, and challenges in our industry, business, the markets in which we operate, and broader macroeconomic environment;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size of our addressable markets, market share, and market trends, including our ability to grow our business internationally;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the sufficiency of our cash, cash equivalents, and investments to meet our liquidity needs;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develop and protect our brand and reputation;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and management of future growth;</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concerning relationships with third parties;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attract, retain, and motivate our skilled personnel, including members of our senior management team;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expectations regarding the effects of existing and developing laws and regulations, including with respect to taxation and privacy, data protection, and cybersecurity;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maintain the security and availability of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defend litigation brought against us;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successfully identify, execute, and integrate any potential acquisitions or strategic investments;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expectations regarding our income and other tax liabilities;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our ability to effectively manage our exposure to fluctuations in foreign currency exchange rates;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 xml:space="preserve">our ability to obtain, maintain, protect, and enforce our intellectual property and proprietary information.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Actual events or results may differ from those expressed in forward-looking statements. As such, 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 addition, statements that “we believe” and similar statements reflect our beliefs and opinions on the relevant subject. These statements are based on information available to us as of the date of this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lineRule="auto" w:line="288" w:before="120" w:after="283"/>
        <w:jc w:val="left"/>
        <w:rPr/>
      </w:pPr>
      <w:r>
        <w:rPr>
          <w:rFonts w:ascii="Arial;sans-serif" w:hAnsi="Arial;sans-serif"/>
          <w:b w:val="false"/>
          <w:color w:val="000000"/>
          <w:sz w:val="18"/>
        </w:rPr>
        <w:t>Investors and others should note that we may announce material information to the public through filings with the Securities and Exchange Commission, our website (udemy.com),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r>
        <w:rPr>
          <w:rFonts w:ascii="Arial;sans-serif" w:hAnsi="Arial;sans-serif"/>
          <w:b w:val="false"/>
          <w:color w:val="000000"/>
          <w:sz w:val="18"/>
          <w:shd w:fill="FFFFFF" w:val="clear"/>
        </w:rPr>
        <w:t>.</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Market and industry data</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Certain market and industry data included in this Form 10-K has been obtained from third party sources that we believe to be reliable. Market estimates are calculated by using independent industry publications, government publications, and third-party forecasts in conjunction with our assumptions about our markets. We have not independently verified such third-party information. While we are not aware of any misstatements regarding any market, industry or similar data presented herein, such data involves risks and uncertainties and is subject to change based on various factors, including those discussed in this Form 10-K in the section titled “Special Note Regarding Forward-Looking Statements” and in Part I, Item 1A, “Risk Factors.”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 Business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mission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mission is to improve lives through learning.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About Udemy</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Udemy is a global learning company whose online platform empowers organizations and individuals with flexible and effective skill acquisition, development and validation. Udemy’s learning marketplace enables tens of thousands of instructors to develop, distribute and enhance content that reaches Udemy’s broad global audience of 69 million learners. Udemy leverages technology, including artificial intelligence (“AI”), as well as data and insights, to deliver personalized, immersive and effective learning experiences. We curate our highest-quality content from our marketplace for Udemy’s enterprise SaaS platform, Udemy Business, which enables companies around the world to offer engaging and effective on-demand learning for all employees, immersive laboratory-style learning for tech teams and cohort-based learning focused on leadership development.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today’s rapidly evolving labor environment, there are two key trends currently reshaping the future of work: the rise of the skills-based organization and the widespread adoption and application of generative AI across various industries, regions and professional roles. By leveraging our comprehensive learning solutions and strategic customer success approach, we believe we are uniquely positioned to empower organizations with the tools to build a future-ready workforce, increase employee engagement and retention, and achieve critical business outcomes, while also helping individuals to stand out in an increasingly competitive job market. We believe that our dual focus on organizational and individual skills development places us at the forefront of addressing the evolving needs of the modern workplace.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As automation and technological innovation accelerates changes in the workforce, there is a growing need to offer more flexible training to continuously re-skill and upskill workforces to keep up with the pace of change. Skills are becoming increasingly important for the way organizations are defining work, deploying talent, managing careers, and valuing employees. A recent study by the World Economic Forum found that 60% of workers worldwide will need retraining before 2027 as skills rapidly evolve or become obsolete. Another study by Korn Ferry estimates there will be a global human talent shortage of more than 85 million people, which could significantly restrain companies’ growth, resulting in trillions of dollars in unrealized annual revenues. Therefore, organizations that embed a skills-based approach are more likely to achieve results than those that have not, including, among others: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meeting or exceeding financial targets;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anticipating and responding effectively and efficiently to change;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innovating; and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achieving high levels of customer satisfaction, increasing productivity and retaining high performers.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believe many of today's learning platforms have a number of shortcomings, including relevance, quality, breadth, scalability, and affordability of content. Udemy’s platform is designed to address these shortcomings by effectively connecting global learners with up-to-date knowledge from experts and practitioners around the world.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global platform supports learners, instructors and enterprise customers to achieve their goals. Udemy enables learners to gain the knowledge and skills they need to attain in-demand jobs, further their career, and improve their well-being. Our library of more than 220,000 free and paid courses is created by 75,000 instructors and covers a wide range of topics, including technology, business and soft skills, and personal development. Our marketplace encourages engagement between learners and instructors, including course enrollment, consumption and Q&amp;As. The volume and frequency of this engagement allows us to generate meaningful insights and provide real-time feedback and analytics for our instructors and enterprise customers.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leverages AI and machine learning throughout our platform. For example, we are incorporating generative AI-powered features that enhance the learner experience, support content creation and increase course enrollments for instructors, and optimize productivity and satisfaction for our learners.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marketplace addresses the evolving needs of learners across the globe by providing access to a wide range of high-quality and relevant content in local languages. Instructors around the world have created courses in 75 languages, resulting in over 90,000 courses on our platform in non-English languages, as of December 31, 2023. Our learners benefit from the local context provided by local instructors, further enhancing the learner experience.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differentiated feedback loops enable instructors to gain insights directly from learners that help to improve the quality and relevance of content, and our platform is designed to facilitate instructors making frequent, real-time updates to their courses. On average, courses were updated five times by top instructors on Udemy in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is powered by a flywheel effect where instructors are encouraged to create relevant, high-quality content that attracts more learners and Udemy Business customers to the platform. More learners on our platform results in a larger audience and greater potential earnings for instructors, which in turn incentivizes more and better course creation and also attracts additional instructors to the platform. This flywheel resulted in an average of over 5,000 new courses added to our platform monthly during 2023. In 2023, instructors earned $208.2 million. Udemy’s top 18 instructors each earned more than $1 million and nearly 1,700 instructors earned more than the average annual income in their home country.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Udemy Business offers organizations access to more than 25,000 of the highest rated courses from our marketplace across 15 languages. The range and volume of our course catalog enables employees to support their career growth with the most relevant and effective courses and real-world skills development, and organizations across the globe to reskill and upskill their workforce. In addition, the Udemy Business platform provides personalized learning paths and rich analytics to further empower learners and administrators to map learning to their desired outcomes.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Global learners are increasingly looking online to acquire new skills, while organizations are rapidly shifting from offline in-person training of employees to online solutions for reskilling and upskilling of their workforce. The increase in work-from-home flexibility has accelerated a corporate shift to digital training solutions worldwide. Udemy’s highly-effective and cost-efficient method of online learning across a variety of disciplines is designed to meet the corporate learning needs within today’s hybrid and remote work cultures.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business model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has two symbiotic operating segments: Enterprise, or Udemy Business (58% of 2023 revenue), and Consumer, or our direct-to-consumer marketplace (42% of 2023 revenue). Udemy’s differentiated business model, compelling revenue share incentive and access to 69 million learners attracts instructors from around the world. The Udemy Consumer marketplace consists of more than 220,000 courses in 75 languages. Millions of people learn on the Udemy platform from real-world experts in topics ranging from technology, business and soft skills, to personal development. Learners can purchase lifetime access to individual courses or subscribe through monthly and annual plans, which offer unlimited access to more than 11,000 of Udemy’s top-rated courses. Most instructors on our marketplace opt into our promotional pricing program in which Udemy programmatically controls list and promotional prices, based on certain characteristics such as course content, length, and rating, which helps drive more enrollments for our instructors. Udemy’s marketplace has 24,000 free courses, which are an important source of conversion to paid enrollments.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global content engine powers Udemy Business with the highest-rated content from our Consumer marketplace, proven new product capabilities and organic new business leads. Udemy Business enables organizations around the world to offer on-demand learning for all employees, immersive learning for technology teams, and cohort learning for business leaders. Built for businesses striving to be at the forefront of innovation and those utilizing the latest technologies, Udemy Business offers fresh, relevant learning that can be accessed around the world at any time. By leveraging Udemy’s integrated learning solutions and strategic customer success support, businesses are equipped with the tools to reskill and upskill their workforce, increase employee engagement, and achieve critical business outcomes in an efficient and cost-effective manner. As of December 31, 2023, Udemy Business offers global companies annual or multi-year subscription access on a per-seat basis to a catalog of more than 25,000 courses in 14 local languages, in addition to English. Udemy Business provides access to its platform through Team and Enterprise subscription plans and offers the ability to add on Udemy Business Pro services. Organizations looking to build leadership capabilities can separately purchase a subscription to our cohort learning development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platform and product offerings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platform provides individual learners and organizations all over the world with access to high-quality and relevant content created by instructors across technology, business and soft skills, and personal development topics. Our platform is purpose-built to empower instructors with data insights and innovative technology to meet the specific needs of learners and organizations in order to help them achieve their goals and desired outcomes. Our products are designed to deliver measurable incremental value, which ultimately creates upselling or expansion opportunities. Udemy generates revenue through the following product offerings: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Per Course</w:t>
      </w:r>
      <w:r>
        <w:rPr>
          <w:rFonts w:ascii="Arial;sans-serif" w:hAnsi="Arial;sans-serif"/>
          <w:b w:val="false"/>
          <w:color w:val="000000"/>
          <w:sz w:val="20"/>
        </w:rPr>
        <w:t>. Individuals can enroll for free or purchase one of Udemy marketplace’s more than 220,000 courses to obtain lifetime access to that digital course content after enrollment. Individual course purchases also include access to interactive learning tools such as quizzes, exercises, and the ability to ask questions and engage with the instructor directly. Pricing is optimized for each individual course and by region.</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Subscriptions</w:t>
      </w:r>
      <w:r>
        <w:rPr>
          <w:rFonts w:ascii="Arial;sans-serif" w:hAnsi="Arial;sans-serif"/>
          <w:b w:val="false"/>
          <w:color w:val="000000"/>
          <w:sz w:val="20"/>
        </w:rPr>
        <w:t>. Udemy Business offers seat-based subscription plans, including Team Plan, Enterprise Plan, and Leadership Academy, as well as the Udemy Business Pro add-on service. Udemy Business subscription plans are offered as annual and multi-year subscriptions with pricing based on volume and functionality. Individuals can purchase a monthly or annual Personal Plan subscription with access to more than 11,000 courses across hundreds of professional and personal skills. Monthly and annual Personal Plan subscription pricing vary by geography.</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Professional Services.</w:t>
      </w:r>
      <w:r>
        <w:rPr>
          <w:color w:val="000000"/>
        </w:rPr>
        <w:t xml:space="preserve"> </w:t>
      </w:r>
      <w:r>
        <w:rPr>
          <w:rFonts w:ascii="Arial;sans-serif" w:hAnsi="Arial;sans-serif"/>
          <w:b w:val="false"/>
          <w:color w:val="000000"/>
          <w:sz w:val="20"/>
        </w:rPr>
        <w:t>For certain Udemy Business customers, we provide professional services that support the cohort learning experience, as well as learning architecture development and skills mapping.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Consumer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direct-to-consumer business is built on our global marketplace, which is a destination for high-quality and relevant courses taught by expert instructors in their respective fields. Our platform is designed to meet the needs of our audience of 69 million learners and 75,000 instructors that come to us for professional and personal skills development. Our global marketplace serves as a testing ground for content and new product features before the best are selected for inclusion in the Udemy Business portfolio. It also serves as an organic lead generation channel and allows us to test and iterate our product in real time in a way that is not disruptive to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analyzes platform data to better understand learners' needs and deliver personalized recommendations for the best courses and learning paths. Learners can access content from local experts from around the world and in their preferred language. Udemy provides a comprehensive and immersive learning experience through tests, Q&amp;As, and other interactive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When subscribed to a Personal Plan, an individual will have unlimited access to the curated subscription catalog during the subscription term, including immersive learning experiences such as practice tests and coding exercises.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Udemy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Global organizations recognize the need for upskilling and reskilling capabilities to ensure their workforce is agile, resilient and competitive in a rapidly changing environment. Many CEOs around the world believe the need for new skills is their largest business challenge and, for employees, opportunities for development have become an important factor that determines workplace satisfaction. Hybrid work, distributed teams and the rapid pace of change mean organizations can no longer rely on in-person training alone. As a result, organizations must leverage digital and hybrid learning experiences to scale skills acquisition. Our go-to-market approach is focused on understanding our customers’ businesses and developing learning strategies so they can achieve organizational goals. We build deep, trusted customer relationships at all levels with a specific focus on the C-suite, and our engagements support upskilling and reskilling across hybrid workplaces. With our dynamic product portfolio from on-demand and immersive learning to a tailored cohort experience for leadership development, Udemy Business supports skill development at all levels of the organization. We continue to make investments in our global partner ecosystem to support direct and indirect revenue channels that help enable us to scale with agility across the global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has curated more than 25,000 of the most highly-rated and relevant courses from its extensive content catalog on its marketplace to meet the needs of its Udemy Business customers in over 150 countries. Udemy Business features collections in 14 local languages, in addition to English. Non-English content accounts for more than 50% of the Udemy Business course collection. Local language courses are taught by native speakers with local context, making the content and learning experience more relevant and effective. These collections are a key competitive differentiator which we believe position us well as a premier learning and development provider for many global organizations that are looking to standardize on one platform.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Udemy uses a rigorous content curation process that considers enterprise customer demand, learner feedback and ratings, topic relevance, course quality, and instructor engagement on our platform, including frequency of updates and interaction with student questions. We regularly review courses in the Udemy Business catalog to ensure ratings consistently stay above a certain threshold and the topics are still relevant.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When an instructor’s course is added to the Udemy Business catalog, instructors are required to agree, subject to limited exceptions, not to offer any on-demand content, such as pre-recorded courses, on any competing platform in a way that directly competes with or impairs the sales of such content on our platform. This exclusivity clause remains in effect for so long as an instructor’s content is included in the Udemy Business catalog, and we may continue to include content in the Udemy Business catalog for up to 12 months after an instructor elects to opt out. We believe these exclusivity arrangements increase the value of our offerings by increasing the amount of unique content on Udemy and helping maintain our robust roster of expert instructors.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Business subscription plans include on-demand access to the curated course library, analytics, and learning path management. Contracts are licensed on an annual or multi-year basis, and pricing is determined on a per seat basis, with volume discounts. Udemy Business offers subscription plans, including Team Plan, Enterprise Plan, and Leadership Academy, as well as the Udemy Business Pro add-on service.</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Team Plan</w:t>
      </w:r>
      <w:r>
        <w:rPr>
          <w:rFonts w:ascii="Arial;sans-serif" w:hAnsi="Arial;sans-serif"/>
          <w:b w:val="false"/>
          <w:color w:val="000000"/>
          <w:sz w:val="20"/>
        </w:rPr>
        <w:t>. Teams of up to 20 people can purchase Team Plan, which is a self-serve, subscription service. Team Plan is designed for teams or organizations who are in need of on-demand learning and development at work to develop new skills, reskill and upskill, which drives retention and increases productivity in a cost-effective manner. With a subscription to Team Plan, subscribers get access to a selection of courses included in the Udemy Business catalog, certification prep for more than 200 exams, practice tests, AI-powered coding exercises, goal-focused recommendations and analytics. Team Plan is offered as an annual subscription of $360 USD per seat, per year.</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Enterprise Plan.</w:t>
      </w:r>
      <w:r>
        <w:rPr>
          <w:color w:val="000000"/>
        </w:rPr>
        <w:t xml:space="preserve"> </w:t>
      </w:r>
      <w:r>
        <w:rPr>
          <w:rFonts w:ascii="Arial;sans-serif" w:hAnsi="Arial;sans-serif"/>
          <w:b w:val="false"/>
          <w:color w:val="000000"/>
          <w:sz w:val="20"/>
        </w:rPr>
        <w:t>Organizations can purchase Enterprise Plan, which offers a vast catalog of more than 25,000 high-quality courses. Enterprise plan includes the same features as Team Plan, but also includes additional features such as a dedicated customer success team, 14 non-English course collections, customizable content, and advanced analytics. Using the product’s reporting and analytics tools, organizations can easily view engagement, user activity, and skill insights to assess Return on Investment, or ROI. Enterprise plans are offered as annual and multi-year subscriptions with pricing based on volume and functionality.</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Udemy Business Pro.</w:t>
      </w:r>
      <w:r>
        <w:rPr>
          <w:color w:val="000000"/>
        </w:rPr>
        <w:t xml:space="preserve"> </w:t>
      </w:r>
      <w:r>
        <w:rPr>
          <w:rFonts w:ascii="Arial;sans-serif" w:hAnsi="Arial;sans-serif"/>
          <w:b w:val="false"/>
          <w:color w:val="000000"/>
          <w:sz w:val="20"/>
        </w:rPr>
        <w:t>Available as an add-on to any Udemy Business enterprise license, Udemy Business Pro provides a deeper, immersive learning experience with assessments, labs and workspaces and pre-built learning paths that accelerate skill development across key roles in information technology, software engineering, and data &amp; analytics. Pricing is based on contract length and number of seats.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Leadership Academy.</w:t>
      </w:r>
      <w:r>
        <w:rPr>
          <w:color w:val="000000"/>
        </w:rPr>
        <w:t xml:space="preserve"> </w:t>
      </w:r>
      <w:r>
        <w:rPr>
          <w:rFonts w:ascii="Arial;sans-serif" w:hAnsi="Arial;sans-serif"/>
          <w:b w:val="false"/>
          <w:color w:val="000000"/>
          <w:sz w:val="20"/>
        </w:rPr>
        <w:t>Organizations looking to build leadership capabilities can purchase our cohort-based leadership development platform, which enables teams to learn together through an instructor-led learning experience in a hybrid, scalable experience that can be tailored for each customer’s organizational needs. Subscription pricing for this offering is based on cohort volume and functionality.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generates Udemy Business customer leads through its go-to-market sales team, lead generation marketing, reselling and co-selling partnerships and from the direct-to-consumer marketplace. We have a proven land-and-expand strategy. Once Udemy has landed a customer, we work closely with the organization to understand their desired business outcomes and help them to achieve their goals. Over time, we have been successful in retaining and expanding our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Customer success and expansion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success of our customers is a focal point for Udemy, as most global companies are currently experiencing massive organizational change and are looking for an experienced and knowledgeable partner to help them achieve their desired business outcomes. Companies around the world are preparing for a talent and workforce transformation, which is the process of developing the employees’ skill set to keep up with the ever-changing needs of the business. Our customer success teams partner with leaders of organizations to develop learning strategies to achieve their corporate objectives and to give learners guidance to help them develop and foster a culture of continuous learning.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under 10% penetration of total available seats for Udemy Business’ customers, our opportunity within our existing customer base is significant. Our land-and-expand strategy is an investment in building long-term, high ROI relationships with our customers. Our teams work closely with customers during onboarding to understand the company's business objectives and partner with the leaders in the organization to develop programs tied to driving business results. We ensure that all of those programs support the right learning outcomes and then we focus on driving seat expansion.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Customer Success organization is structured to support our customer base as it scales. Based on the nature of our customers, we support them using one of the following three models: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Self-serve.</w:t>
      </w:r>
      <w:r>
        <w:rPr>
          <w:color w:val="000000"/>
        </w:rPr>
        <w:t xml:space="preserve"> </w:t>
      </w:r>
      <w:r>
        <w:rPr>
          <w:rFonts w:ascii="Arial;sans-serif" w:hAnsi="Arial;sans-serif"/>
          <w:b w:val="false"/>
          <w:color w:val="000000"/>
          <w:sz w:val="20"/>
        </w:rPr>
        <w:t>Fully digital experience for organizations purchasing our Team plan supported by product functionality and customer marketing.</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Scaled</w:t>
      </w:r>
      <w:r>
        <w:rPr>
          <w:rFonts w:ascii="Arial;sans-serif" w:hAnsi="Arial;sans-serif"/>
          <w:b w:val="false"/>
          <w:color w:val="000000"/>
          <w:sz w:val="20"/>
        </w:rPr>
        <w:t>. Blended customer experience for Enterprise customers with less than 100 seats where we leverage technology and automation to create a personalized customer journey, and we have teams of customer success members that will engage with our customers throughout the customer journey.</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High touch.</w:t>
      </w:r>
      <w:r>
        <w:rPr>
          <w:color w:val="000000"/>
        </w:rPr>
        <w:t xml:space="preserve"> </w:t>
      </w:r>
      <w:r>
        <w:rPr>
          <w:rFonts w:ascii="Arial;sans-serif" w:hAnsi="Arial;sans-serif"/>
          <w:b w:val="false"/>
          <w:color w:val="000000"/>
          <w:sz w:val="20"/>
        </w:rPr>
        <w:t>Assigned by geography and business segment for Enterprise customers purchasing at least 100 seats where every customer success manager is assigned to fewer customers and is very hands-on throughout the customer journey.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each customer being assigned a Customer Success representative, we also provide specialized support for key customer needs.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Renewals.</w:t>
      </w:r>
      <w:r>
        <w:rPr>
          <w:color w:val="000000"/>
        </w:rPr>
        <w:t xml:space="preserve"> </w:t>
      </w:r>
      <w:r>
        <w:rPr>
          <w:rFonts w:ascii="Arial;sans-serif" w:hAnsi="Arial;sans-serif"/>
          <w:b w:val="false"/>
          <w:color w:val="000000"/>
          <w:sz w:val="20"/>
        </w:rPr>
        <w:t>Manage the customer renewal journey, making sure we optimize the renewal event for both Udemy and the customer.</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Professional Services.</w:t>
      </w:r>
      <w:r>
        <w:rPr>
          <w:color w:val="000000"/>
        </w:rPr>
        <w:t xml:space="preserve"> </w:t>
      </w:r>
      <w:r>
        <w:rPr>
          <w:rFonts w:ascii="Arial;sans-serif" w:hAnsi="Arial;sans-serif"/>
          <w:b w:val="false"/>
          <w:color w:val="000000"/>
          <w:sz w:val="20"/>
        </w:rPr>
        <w:t>Multiple centers of excellence with services that support the delivery of our cohort learning experience as well as high-touch engagements such as learning architecture and content mapping.</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Customer Support.</w:t>
      </w:r>
      <w:r>
        <w:rPr>
          <w:color w:val="000000"/>
        </w:rPr>
        <w:t xml:space="preserve"> </w:t>
      </w:r>
      <w:r>
        <w:rPr>
          <w:rFonts w:ascii="Arial;sans-serif" w:hAnsi="Arial;sans-serif"/>
          <w:b w:val="false"/>
          <w:color w:val="000000"/>
          <w:sz w:val="20"/>
        </w:rPr>
        <w:t>Self-service and global agents to assist with inquiries from all Udemy Business seat holders.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attract, retain and expand revenue from our Udemy Business customers is demonstrated by our Net Dollar Retention Rate (“NDRR”). As of December 31, 2023, Udemy Business NDRR was 106%, and NDRR for Udemy Business customers with at least 1,000 employees, or Udemy Business Large Customer NDRR, was 113%. This level of retention demonstrates the potential for consistent expanded growth within the existing Udemy Business customer base. To date, customer expansion has been primarily driven by seat expansion, although new product adoption, such as Leadership Academy and Udemy Business Pro, is becoming a more meaningful driver.</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Partnerships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Partnerships are a key element of Udemy’s long-term growth strategy. Udemy’s partnerships aim to drive growth across both our consumer and Udemy Business offerings, and we center our efforts on three key pillars: global expansion, extending reach and meeting our business customers in their flow of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 has a global focus in all partnerships. We have a differentiated localized content catalog across a wide set of regions. Combined with our go-to-market and Customer Success approach, we increase our speed to market and local penetration by partnering with regional resell and co-sell partners to connect customers with Udemy Business in their local language. In some cases where we do not have localized content, we implement our high-touch partnership model to leverage a key local brand to help develop our content catalog and to establish a local language version of Udemy Business once the catalog meets our high-quality criteria. In 2023, more than 60% of Udemy Business revenue in the Asia Pacific region was driven by partnerships with Benesse in Japan, Woongjin ThinkBig in South Korea, Sanjieke in China and FUNiX in Vietnam. These highly selective partnerships must meet stringent criteria.</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addition to our global focus, Udemy seeks to forge relationships that either extend our marketing reach or the capabilities and reach of our sales go-to-market. Through relationships with key brands and regional leaders that have reach and scale in their own right, we are able to increase the awareness and adoption of our offerings.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Additionally, customers need data integrations in order to assess ROI, adoption and other key metrics. Udemy’s open nature, platform services focus and APIs, enables us to build a robust integration ecosystem that supports our customers’ ability to get the most out of their software investments and investments in learning.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Finally, a critical part of Udemy’s success requires that we work with partners to enable our users to access Udemy Business content in their flow of work. To support this, Udemy Business can be integrated into various Learning Management Systems (“LMS”) and Learning Experience Platforms (“LXP”).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growth strategies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pursuing the following strategies to generate long-term sustainable growth for our business:</w:t>
      </w:r>
    </w:p>
    <w:p>
      <w:pPr>
        <w:pStyle w:val="TextBody"/>
        <w:bidi w:val="0"/>
        <w:spacing w:lineRule="auto" w:line="288" w:before="120" w:after="283"/>
        <w:jc w:val="left"/>
        <w:rPr/>
      </w:pPr>
      <w:r>
        <w:rPr>
          <w:rFonts w:ascii="Arial;sans-serif" w:hAnsi="Arial;sans-serif"/>
          <w:b w:val="false"/>
          <w:i/>
          <w:color w:val="000000"/>
          <w:sz w:val="20"/>
        </w:rPr>
        <w:t xml:space="preserve">Increase Udemy Business penetration through a land-and-expand strategy. </w:t>
      </w:r>
      <w:r>
        <w:rPr>
          <w:rFonts w:ascii="Arial;sans-serif" w:hAnsi="Arial;sans-serif"/>
          <w:b w:val="false"/>
          <w:color w:val="000000"/>
          <w:sz w:val="20"/>
        </w:rPr>
        <w:t>Our strategy focuses on acquiring new customers and efficiently growing our relationships with existing customers. Historically, we have expanded from individual to team to multi-department and company-wide sales as Udemy Business’s value is proven and customers identify additional use cases. With under 10% of total available seats contracted in our customer base as of the end of 2023, we see a large opportunity for growth. We have developed a strong outbound lead-generation process with effective account-based marketing operations, allowing us to target, develop and nurture key accounts in large organizations.</w:t>
      </w:r>
    </w:p>
    <w:p>
      <w:pPr>
        <w:pStyle w:val="TextBody"/>
        <w:bidi w:val="0"/>
        <w:spacing w:lineRule="auto" w:line="288" w:before="120" w:after="283"/>
        <w:jc w:val="left"/>
        <w:rPr/>
      </w:pPr>
      <w:r>
        <w:rPr>
          <w:rFonts w:ascii="Arial;sans-serif" w:hAnsi="Arial;sans-serif"/>
          <w:b w:val="false"/>
          <w:i/>
          <w:color w:val="000000"/>
          <w:sz w:val="20"/>
        </w:rPr>
        <w:t>Continue international expansion and localization.</w:t>
      </w:r>
      <w:r>
        <w:rPr>
          <w:color w:val="000000"/>
        </w:rPr>
        <w:t xml:space="preserve"> </w:t>
      </w:r>
      <w:r>
        <w:rPr>
          <w:rFonts w:ascii="Arial;sans-serif" w:hAnsi="Arial;sans-serif"/>
          <w:b w:val="false"/>
          <w:color w:val="000000"/>
          <w:sz w:val="20"/>
        </w:rPr>
        <w:t>Udemy is accessible in more than 180 countries with courses in 75 languages. As the content catalog expands in each country, we typically invest in additional growth levers such as local payment methods, local currency pricing and local marketing. These investments drive higher traffic, enrollments and revenue for our direct-to-consumer business, as well as leads for Udemy Business. Once we reach a steady volume of leads to Udemy Business, we build local go-to-market sales teams to help grow and expand our customer base. We also may partner with local companies. We believe this international playbook will continue to allow us to build a targeted list of countries in which we anticipate we will expand with a high likelihood of success.</w:t>
      </w:r>
    </w:p>
    <w:p>
      <w:pPr>
        <w:pStyle w:val="TextBody"/>
        <w:bidi w:val="0"/>
        <w:spacing w:lineRule="auto" w:line="288" w:before="120" w:after="283"/>
        <w:jc w:val="left"/>
        <w:rPr/>
      </w:pPr>
      <w:r>
        <w:rPr>
          <w:rFonts w:ascii="Arial;sans-serif" w:hAnsi="Arial;sans-serif"/>
          <w:b w:val="false"/>
          <w:i/>
          <w:color w:val="000000"/>
          <w:sz w:val="20"/>
        </w:rPr>
        <w:t>Expand learning experiences to new modalities and more active learning that reaches a broader audience.</w:t>
      </w:r>
      <w:r>
        <w:rPr>
          <w:color w:val="000000"/>
        </w:rPr>
        <w:t xml:space="preserve"> </w:t>
      </w:r>
      <w:r>
        <w:rPr>
          <w:rFonts w:ascii="Arial;sans-serif" w:hAnsi="Arial;sans-serif"/>
          <w:b w:val="false"/>
          <w:color w:val="000000"/>
          <w:sz w:val="20"/>
        </w:rPr>
        <w:t>Our platform currently offers powerful learning experiences including practice tests, coding exercises and quizzes, which permit learners to prepare for certification exams and better retain learnings. We intend to further expand our offerings to include more immersive skills assessments, labs and cohort-based learning.</w:t>
      </w:r>
    </w:p>
    <w:p>
      <w:pPr>
        <w:pStyle w:val="TextBody"/>
        <w:bidi w:val="0"/>
        <w:spacing w:lineRule="auto" w:line="288" w:before="120" w:after="283"/>
        <w:jc w:val="left"/>
        <w:rPr/>
      </w:pPr>
      <w:r>
        <w:rPr>
          <w:rFonts w:ascii="Arial;sans-serif" w:hAnsi="Arial;sans-serif"/>
          <w:b w:val="false"/>
          <w:i/>
          <w:color w:val="000000"/>
          <w:sz w:val="20"/>
        </w:rPr>
        <w:t xml:space="preserve">Launch innovative products that drive measurable learning outcomes and increased retention. </w:t>
      </w:r>
      <w:r>
        <w:rPr>
          <w:rFonts w:ascii="Arial;sans-serif" w:hAnsi="Arial;sans-serif"/>
          <w:b w:val="false"/>
          <w:color w:val="000000"/>
          <w:sz w:val="20"/>
        </w:rPr>
        <w:t>We are investing in the platform and leveraging technology such as generative AI to:</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drive increased measurable learner outcomes;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deliver more personalized learning experiences;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improve our instructors’ ability to create additional modalities and hands-on learning experiences; and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improve our ability to support organizations and their need to upskill and reskill their workforces efficiently, including leadership needs and cohort-based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val="false"/>
          <w:i/>
          <w:color w:val="000000"/>
          <w:sz w:val="20"/>
        </w:rPr>
        <w:t>Increase overall Udemy brand awareness.</w:t>
      </w:r>
      <w:r>
        <w:rPr>
          <w:color w:val="000000"/>
        </w:rPr>
        <w:t xml:space="preserve"> </w:t>
      </w:r>
      <w:r>
        <w:rPr>
          <w:rFonts w:ascii="Arial;sans-serif" w:hAnsi="Arial;sans-serif"/>
          <w:b w:val="false"/>
          <w:color w:val="000000"/>
          <w:sz w:val="20"/>
        </w:rPr>
        <w:t>We are continuing to invest in growing brand awareness globally. Udemy’s brand awareness is relatively low, representing a significant opportunity, and this is consistent with the category as a whole. Our brand marketing is designed to increase awareness of Udemy through online and offline campaigns that drive media coverage, social sharing and more word-of-mouth virality. Investments in our brand enable us to drive long-term growth by attracting new learners to our platform and keeping existing learners engaged.</w:t>
      </w:r>
    </w:p>
    <w:p>
      <w:pPr>
        <w:pStyle w:val="TextBody"/>
        <w:bidi w:val="0"/>
        <w:spacing w:lineRule="auto" w:line="288" w:before="120" w:after="283"/>
        <w:jc w:val="left"/>
        <w:rPr/>
      </w:pPr>
      <w:r>
        <w:rPr>
          <w:rFonts w:ascii="Arial;sans-serif" w:hAnsi="Arial;sans-serif"/>
          <w:b w:val="false"/>
          <w:i/>
          <w:color w:val="000000"/>
          <w:sz w:val="20"/>
        </w:rPr>
        <w:t>Optimize business model and pricing</w:t>
      </w:r>
      <w:r>
        <w:rPr>
          <w:rFonts w:ascii="Arial;sans-serif" w:hAnsi="Arial;sans-serif"/>
          <w:b w:val="false"/>
          <w:color w:val="000000"/>
          <w:sz w:val="20"/>
        </w:rPr>
        <w:t>. Our machine-learning pricing optimization approach is designed to make it easy and accessible for learners to purchase courses, which drives instructor earnings, thereby increasing incentives for instructors to supply more courses. We are continuing to invest in our machine-learning pricing algorithms to determine the optimal price we charge for our courses in our marketplace on a per-country basis, taking into account dozens of course characteristics, including category of content, hours of content, course rating and popularity.</w:t>
      </w:r>
    </w:p>
    <w:p>
      <w:pPr>
        <w:pStyle w:val="TextBody"/>
        <w:bidi w:val="0"/>
        <w:spacing w:lineRule="auto" w:line="288" w:before="120" w:after="283"/>
        <w:jc w:val="left"/>
        <w:rPr/>
      </w:pPr>
      <w:r>
        <w:rPr>
          <w:rFonts w:ascii="Arial;sans-serif" w:hAnsi="Arial;sans-serif"/>
          <w:b w:val="false"/>
          <w:i/>
          <w:color w:val="000000"/>
          <w:sz w:val="20"/>
        </w:rPr>
        <w:t>Pursue strategic acquisitions.</w:t>
      </w:r>
      <w:r>
        <w:rPr>
          <w:color w:val="000000"/>
        </w:rPr>
        <w:t xml:space="preserve"> </w:t>
      </w:r>
      <w:r>
        <w:rPr>
          <w:rFonts w:ascii="Arial;sans-serif" w:hAnsi="Arial;sans-serif"/>
          <w:b w:val="false"/>
          <w:color w:val="000000"/>
          <w:sz w:val="20"/>
        </w:rPr>
        <w:t xml:space="preserve">We will consider acquisitions that expand our international footprint and/or to acquire innovative technology that expands the immersive learning experiences we offer, with the goal of improving learner outcomes and ultimately increasing new customer acquisition and retention.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Competition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market for developing skills is rapidly growing and highly fragmented, but is not well-suited to address the growing need for people to develop skills, reskill and upskill since the landscape is continuously evolving. Participants in this market can include corporate training offerings, direct-to-consumer training offerings, specialized content training offerings, and providers of online free resources. We compete for individual learners, Udemy Business customers and instructors on the following basis:</w:t>
      </w:r>
    </w:p>
    <w:p>
      <w:pPr>
        <w:pStyle w:val="TextBody"/>
        <w:bidi w:val="0"/>
        <w:spacing w:lineRule="auto" w:line="288" w:before="120" w:after="283"/>
        <w:jc w:val="left"/>
        <w:rPr/>
      </w:pPr>
      <w:r>
        <w:rPr>
          <w:rFonts w:ascii="Arial;sans-serif" w:hAnsi="Arial;sans-serif"/>
          <w:b w:val="false"/>
          <w:i/>
          <w:color w:val="000000"/>
          <w:sz w:val="20"/>
        </w:rPr>
        <w:t>Learners:</w:t>
      </w:r>
      <w:r>
        <w:rPr>
          <w:color w:val="000000"/>
        </w:rPr>
        <w:t xml:space="preserve"> </w:t>
      </w:r>
      <w:r>
        <w:rPr>
          <w:rFonts w:ascii="Arial;sans-serif" w:hAnsi="Arial;sans-serif"/>
          <w:b w:val="false"/>
          <w:color w:val="000000"/>
          <w:sz w:val="20"/>
        </w:rPr>
        <w:t>We compete for learners based on our course catalog, instructors, learning tools and localization. We believe that we are positioned favorably because of our ability to attract instructors and support them with data and insights to create new, and regularly refreshed high-quality content.</w:t>
      </w:r>
    </w:p>
    <w:p>
      <w:pPr>
        <w:pStyle w:val="TextBody"/>
        <w:bidi w:val="0"/>
        <w:spacing w:lineRule="auto" w:line="288" w:before="120" w:after="283"/>
        <w:jc w:val="left"/>
        <w:rPr/>
      </w:pPr>
      <w:r>
        <w:rPr>
          <w:rFonts w:ascii="Arial;sans-serif" w:hAnsi="Arial;sans-serif"/>
          <w:b w:val="false"/>
          <w:i/>
          <w:color w:val="000000"/>
          <w:sz w:val="20"/>
        </w:rPr>
        <w:t>Udemy Business customers</w:t>
      </w:r>
      <w:r>
        <w:rPr>
          <w:rFonts w:ascii="Arial;sans-serif" w:hAnsi="Arial;sans-serif"/>
          <w:b w:val="false"/>
          <w:color w:val="000000"/>
          <w:sz w:val="20"/>
        </w:rPr>
        <w:t>: We compete for customers based on our high-quality, engaging and relevant content, the breadth and depth of that content across the full range of core business functions and advanced product features that optimize self-paced learning and enable organizations to effectively drive programmatic learning. We believe that we are positioned favorably because of the synergies between our consumer and enterprise businesses, and the strategic relationships we form with our enterprise customers that help them drive engagement in their learning programs and, in turn, business outcomes like employee retention and corporate productivity.</w:t>
      </w:r>
    </w:p>
    <w:p>
      <w:pPr>
        <w:pStyle w:val="TextBody"/>
        <w:bidi w:val="0"/>
        <w:spacing w:lineRule="auto" w:line="288" w:before="120" w:after="283"/>
        <w:jc w:val="left"/>
        <w:rPr/>
      </w:pPr>
      <w:r>
        <w:rPr>
          <w:rFonts w:ascii="Arial;sans-serif" w:hAnsi="Arial;sans-serif"/>
          <w:b w:val="false"/>
          <w:i/>
          <w:color w:val="000000"/>
          <w:sz w:val="20"/>
        </w:rPr>
        <w:t>Instructors:</w:t>
      </w:r>
      <w:r>
        <w:rPr>
          <w:color w:val="000000"/>
        </w:rPr>
        <w:t xml:space="preserve"> </w:t>
      </w:r>
      <w:r>
        <w:rPr>
          <w:rFonts w:ascii="Arial;sans-serif" w:hAnsi="Arial;sans-serif"/>
          <w:b w:val="false"/>
          <w:color w:val="000000"/>
          <w:sz w:val="20"/>
        </w:rPr>
        <w:t>We compete for instructors based on our ability to provide monetization opportunities and tools to enable instructors to create differentiated content to delight global learners. We believe that we are positioned favorably because of our ability to attract learners across the globe, provide data and insights to help instructors to retain learners, and offer an attractive shared revenue model.</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competitive advantages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traditional publisher model used by some competitors can be slow moving and reactive. Other niche marketplace models cannot effectively serve the enterprise learner who needs to develop both hard and soft skills. Udemy’s platform, in contrast, offers a comprehensive suite of skills development content required to support learners and organizations in achieving their goals and outcomes. We believe our operating model benefits from several competitive advantages:</w:t>
      </w:r>
    </w:p>
    <w:p>
      <w:pPr>
        <w:pStyle w:val="TextBody"/>
        <w:bidi w:val="0"/>
        <w:spacing w:lineRule="auto" w:line="288" w:before="120" w:after="283"/>
        <w:jc w:val="left"/>
        <w:rPr/>
      </w:pPr>
      <w:r>
        <w:rPr>
          <w:rFonts w:ascii="Arial;sans-serif" w:hAnsi="Arial;sans-serif"/>
          <w:b w:val="false"/>
          <w:i/>
          <w:color w:val="000000"/>
          <w:sz w:val="20"/>
        </w:rPr>
        <w:t>Comprehensive global course catalog</w:t>
      </w:r>
      <w:r>
        <w:rPr>
          <w:rFonts w:ascii="Arial;sans-serif" w:hAnsi="Arial;sans-serif"/>
          <w:b w:val="false"/>
          <w:color w:val="000000"/>
          <w:sz w:val="20"/>
        </w:rPr>
        <w:t>. We provide access to over 220,000 courses, including over 90,000 non-English language courses. This extensive library covers a broad range of topics, including technical skills, business and soft skills, and personal development. Many of our competitors specialize in a specific category, which is not effective for companies and their employees that require a blend of technical, business and soft skills. We have effectively built a creator platform that allows instructors to develop content on virtually any topic, while having the flexibility to update courses as they incorporate feedback from millions of learners around the world. On average, our instructors publish more than 5,000 courses a month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val="false"/>
          <w:i/>
          <w:color w:val="000000"/>
          <w:sz w:val="20"/>
        </w:rPr>
        <w:t>High-quality, relevant and up-to-date content.</w:t>
      </w:r>
      <w:r>
        <w:rPr>
          <w:color w:val="000000"/>
        </w:rPr>
        <w:t xml:space="preserve"> </w:t>
      </w:r>
      <w:r>
        <w:rPr>
          <w:rFonts w:ascii="Arial;sans-serif" w:hAnsi="Arial;sans-serif"/>
          <w:b w:val="false"/>
          <w:color w:val="000000"/>
          <w:sz w:val="20"/>
        </w:rPr>
        <w:t>Udemy’s differentiated feedback loop between learners and instructors ensures that we are able to maintain the high-quality courses to meet the needs of learners. Our marketplace model motivates instructors to provide relevant content to learners quickly, whether by being first to address in-demand topics, refreshing existing topics, or finding new and better ways to serve the learner community on existing topics. We believe this incentive model helps drive our instructors to update their courses at a much higher rate than courses offered via a traditional publisher model. Rather than being subject to the “top down” review cycle of multiple editors inherent to traditional publishing, our model removes these publisher barriers to enable a flywheel of instructor content creation, engagement, and continuous content optimization. This continuously updated content, along with personalized recommendations and advanced search capabilities, presents a better value proposition for learners who benefit from accessing the most up-to-date, high-quality content that is relevant to them. Our marketplace model allows us to provide the freshest technical content that is able to keep up with the pace of innovation, providing the content needed to support organizations undergoing digital transformation efforts. We also regularly remove courses that fall below our ratings guidelines or are receiving limited engagement from learners.</w:t>
      </w:r>
    </w:p>
    <w:p>
      <w:pPr>
        <w:pStyle w:val="TextBody"/>
        <w:bidi w:val="0"/>
        <w:spacing w:lineRule="auto" w:line="288" w:before="120" w:after="283"/>
        <w:jc w:val="left"/>
        <w:rPr/>
      </w:pPr>
      <w:r>
        <w:rPr>
          <w:rFonts w:ascii="Arial;sans-serif" w:hAnsi="Arial;sans-serif"/>
          <w:b w:val="false"/>
          <w:i/>
          <w:color w:val="000000"/>
          <w:sz w:val="20"/>
        </w:rPr>
        <w:t>Global instructor network</w:t>
      </w:r>
      <w:r>
        <w:rPr>
          <w:rFonts w:ascii="Arial;sans-serif" w:hAnsi="Arial;sans-serif"/>
          <w:b w:val="false"/>
          <w:color w:val="000000"/>
          <w:sz w:val="20"/>
        </w:rPr>
        <w:t xml:space="preserve">. Udemy has a network of 75,000 global instructors. Instructors come to Udemy because of our scale. Our massive audience provides us with a significant amount of learner data and incentive for instructors to come to our platform. Tens of thousands of instructors have created hundreds of thousands of courses to serve tens of millions of global learners. Udemy offers a clear advantage to instructors who want to ensure they offer the freshest, most relevant tech skills content. The ability to quickly create and post fresh content helps instructors attract more learners and generate more earnings. On average, courses are updated five times per year by top instructors on Udemy. In 2023, our instructors earned $208.2 million and published an average of more than 5,000 courses per month. </w:t>
      </w:r>
    </w:p>
    <w:p>
      <w:pPr>
        <w:pStyle w:val="TextBody"/>
        <w:bidi w:val="0"/>
        <w:spacing w:lineRule="auto" w:line="288" w:before="120" w:after="283"/>
        <w:jc w:val="left"/>
        <w:rPr/>
      </w:pPr>
      <w:r>
        <w:rPr>
          <w:rFonts w:ascii="Arial;sans-serif" w:hAnsi="Arial;sans-serif"/>
          <w:b w:val="false"/>
          <w:i/>
          <w:color w:val="000000"/>
          <w:sz w:val="20"/>
        </w:rPr>
        <w:t>Global distribution and reach.</w:t>
      </w:r>
      <w:r>
        <w:rPr>
          <w:color w:val="000000"/>
        </w:rPr>
        <w:t xml:space="preserve"> </w:t>
      </w:r>
      <w:r>
        <w:rPr>
          <w:rFonts w:ascii="Arial;sans-serif" w:hAnsi="Arial;sans-serif"/>
          <w:b w:val="false"/>
          <w:color w:val="000000"/>
          <w:sz w:val="20"/>
        </w:rPr>
        <w:t>Our platform connects individual learners and enterprise customers with instructors across the world. In 2023, 60% of our revenue was generated outside of North America, and more than 85% of marketplace traffic originated from outside of the United States. We have courses in 75 languages on our marketplace and have Udemy Business customers in more than 150 countries. As learners and organizations in a new geography begin to engage with us, we then have the opportunity to quickly and efficiently expand our global footprint by focusing our marketing, advertising, pricing, and language customization resources and expanding our payment options, which allows us to grow our base of individual learners and enterprises and attract new instructors who create native language courses. For Udemy Business, we have courses in English and 14 other local languages. Having local language experts creating locally relevant content is a key differentiator for Udemy.</w:t>
      </w:r>
    </w:p>
    <w:p>
      <w:pPr>
        <w:pStyle w:val="TextBody"/>
        <w:bidi w:val="0"/>
        <w:spacing w:lineRule="auto" w:line="288" w:before="120" w:after="283"/>
        <w:jc w:val="left"/>
        <w:rPr/>
      </w:pPr>
      <w:r>
        <w:rPr>
          <w:rFonts w:ascii="Arial;sans-serif" w:hAnsi="Arial;sans-serif"/>
          <w:b w:val="false"/>
          <w:i/>
          <w:color w:val="000000"/>
          <w:sz w:val="20"/>
        </w:rPr>
        <w:t>Powerful network effects.</w:t>
      </w:r>
      <w:r>
        <w:rPr>
          <w:color w:val="000000"/>
        </w:rPr>
        <w:t xml:space="preserve"> </w:t>
      </w:r>
      <w:r>
        <w:rPr>
          <w:rFonts w:ascii="Arial;sans-serif" w:hAnsi="Arial;sans-serif"/>
          <w:b w:val="false"/>
          <w:color w:val="000000"/>
          <w:sz w:val="20"/>
        </w:rPr>
        <w:t>Udemy is one symbiotic, data-centric platform. The growing number of individual learners and enterprises on our platform attracts more instructors with diverse experiences and backgrounds to create content for in-demand topics and update existing courses. The increasing number of relevant, high-quality and up-to-date courses attracts more individual learners and enterprises. The volume and frequency of these interactions allow us to generate meaningful insights and provide real-time feedback and analytics for our instructors. These data insights improve content quality, enhance course personalization, and optimize productivity and satisfaction for our learners.</w:t>
      </w:r>
    </w:p>
    <w:p>
      <w:pPr>
        <w:pStyle w:val="TextBody"/>
        <w:bidi w:val="0"/>
        <w:spacing w:lineRule="auto" w:line="288" w:before="120" w:after="283"/>
        <w:jc w:val="left"/>
        <w:rPr/>
      </w:pPr>
      <w:r>
        <w:rPr>
          <w:rFonts w:ascii="Arial;sans-serif" w:hAnsi="Arial;sans-serif"/>
          <w:b w:val="false"/>
          <w:i/>
          <w:color w:val="000000"/>
          <w:sz w:val="20"/>
        </w:rPr>
        <w:t>Powerful data insights and analytics</w:t>
      </w:r>
      <w:r>
        <w:rPr>
          <w:rFonts w:ascii="Arial;sans-serif" w:hAnsi="Arial;sans-serif"/>
          <w:b w:val="false"/>
          <w:color w:val="000000"/>
          <w:sz w:val="20"/>
        </w:rPr>
        <w:t>. With an average of 34 million monthly unique visitors during 2023, over 137 million cumulative course enrollments, and more than 13 billion cumulative minutes of learning, we believe that the volume of the data our platform collects provides meaningful insights into the behaviors and evolving needs of organizations, learners and instructors. We leverage that data to provide personalized course recommendations and learning paths. We also analyze enrollment data, market insights and feedback from learners to identify needed skills or new topics of focus within our content catalog and share this information with our instructors so they can continuously improve their course offerings in real time.</w:t>
      </w:r>
    </w:p>
    <w:p>
      <w:pPr>
        <w:pStyle w:val="TextBody"/>
        <w:bidi w:val="0"/>
        <w:spacing w:lineRule="auto" w:line="288" w:before="120" w:after="283"/>
        <w:jc w:val="left"/>
        <w:rPr/>
      </w:pPr>
      <w:r>
        <w:rPr>
          <w:rFonts w:ascii="Arial;sans-serif" w:hAnsi="Arial;sans-serif"/>
          <w:b w:val="false"/>
          <w:i/>
          <w:color w:val="000000"/>
          <w:sz w:val="20"/>
        </w:rPr>
        <w:t>Flexible technology platform.</w:t>
      </w:r>
      <w:r>
        <w:rPr>
          <w:color w:val="000000"/>
        </w:rPr>
        <w:t xml:space="preserve"> </w:t>
      </w:r>
      <w:r>
        <w:rPr>
          <w:rFonts w:ascii="Arial;sans-serif" w:hAnsi="Arial;sans-serif"/>
          <w:b w:val="false"/>
          <w:color w:val="000000"/>
          <w:sz w:val="20"/>
        </w:rPr>
        <w:t>We have built our technology to be flexible to enable us to continuously test and add new features, such as interactive exercises and immersive learning experiences. Our technology platform is modern, agile, and accessible from a variety of online and mobile channels. Collecting and analyzing billions of data points helps our data scientists recommend better and more relevant content. We use advanced technology applications, such as personalized promotions, lifecycle marketing and content personalization, to help tailor our platform for our learners.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technology and research and 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technology features a modern architecture designed to support our continued growth at scale and to deliver on our mission. We leverage AI and machine learning to enhance learner personalization, increase conversion and support customer retention. Our global distribution platform enables learners, instructors and organizations around the world to achieve their goals and desired outcomes. We aim to provide world-class experiences for all learners by focusing on the following pillars:</w:t>
      </w:r>
    </w:p>
    <w:p>
      <w:pPr>
        <w:pStyle w:val="TextBody"/>
        <w:bidi w:val="0"/>
        <w:spacing w:lineRule="auto" w:line="288" w:before="120" w:after="283"/>
        <w:jc w:val="left"/>
        <w:rPr/>
      </w:pPr>
      <w:r>
        <w:rPr>
          <w:rFonts w:ascii="Arial;sans-serif" w:hAnsi="Arial;sans-serif"/>
          <w:b w:val="false"/>
          <w:i/>
          <w:color w:val="000000"/>
          <w:sz w:val="20"/>
        </w:rPr>
        <w:t>Scaled integrated platform.</w:t>
      </w:r>
      <w:r>
        <w:rPr>
          <w:color w:val="000000"/>
        </w:rPr>
        <w:t xml:space="preserve"> </w:t>
      </w:r>
      <w:r>
        <w:rPr>
          <w:rFonts w:ascii="Arial;sans-serif" w:hAnsi="Arial;sans-serif"/>
          <w:b w:val="false"/>
          <w:color w:val="000000"/>
          <w:sz w:val="20"/>
        </w:rPr>
        <w:t>Our massive and growing network of instructors, learners and organizations enables us to create significant value for all customers. Our instructors create fresh, relevant content for our learners and organizations, including immersive learning experiences. Instructors are able to monetize their knowledge and receive learner feedback on their content. That data and insights allow us to experiment and iterate on our product. Organizations are empowered to upskill and reskill employees with our learning content. Udemy leverages generative AI to enable more personalized learning experiences and provides valuable data and strategic insights related to employee’s learning trends, skills acquisition and progress toward goals.</w:t>
      </w:r>
    </w:p>
    <w:p>
      <w:pPr>
        <w:pStyle w:val="TextBody"/>
        <w:bidi w:val="0"/>
        <w:spacing w:lineRule="auto" w:line="288" w:before="120" w:after="283"/>
        <w:jc w:val="left"/>
        <w:rPr/>
      </w:pPr>
      <w:r>
        <w:rPr>
          <w:rFonts w:ascii="Arial;sans-serif" w:hAnsi="Arial;sans-serif"/>
          <w:b w:val="false"/>
          <w:i/>
          <w:color w:val="000000"/>
          <w:sz w:val="20"/>
        </w:rPr>
        <w:t>Comprehensive learning</w:t>
      </w:r>
      <w:r>
        <w:rPr>
          <w:rFonts w:ascii="Arial;sans-serif" w:hAnsi="Arial;sans-serif"/>
          <w:b w:val="false"/>
          <w:color w:val="000000"/>
          <w:sz w:val="20"/>
        </w:rPr>
        <w:t>. Udemy’s platform is designed to support learners throughout their journey as they develop skills needed to achieve their professional goals and receive validation of skills proficiency through badges and certification. We provide personalized and guided skill-based learning experiences, including videos, reading tutorials, hands-on practice and assessments. Learners can focus on career and occupational areas of their choice. Udemy produces curated learning paths focused on key domains and skill sets. We also allow organizations to author their own custom learning paths. These are customized to the organization-specific upskilling and reskilling objectives.</w:t>
      </w:r>
    </w:p>
    <w:p>
      <w:pPr>
        <w:pStyle w:val="TextBody"/>
        <w:bidi w:val="0"/>
        <w:spacing w:lineRule="auto" w:line="288" w:before="120" w:after="283"/>
        <w:jc w:val="left"/>
        <w:rPr/>
      </w:pPr>
      <w:r>
        <w:rPr>
          <w:rFonts w:ascii="Arial;sans-serif" w:hAnsi="Arial;sans-serif"/>
          <w:b w:val="false"/>
          <w:i/>
          <w:color w:val="000000"/>
          <w:sz w:val="20"/>
        </w:rPr>
        <w:t>Extensive integrations.</w:t>
      </w:r>
      <w:r>
        <w:rPr>
          <w:color w:val="000000"/>
        </w:rPr>
        <w:t xml:space="preserve"> </w:t>
      </w:r>
      <w:r>
        <w:rPr>
          <w:rFonts w:ascii="Arial;sans-serif" w:hAnsi="Arial;sans-serif"/>
          <w:b w:val="false"/>
          <w:color w:val="000000"/>
          <w:sz w:val="20"/>
        </w:rPr>
        <w:t>We are evolving our comprehensive learning platform using an API-first approach. This starts by looking at our business as a set of key entities and capabilities, and we define modular, interoperable APIs to represent them. This foundation fosters innovation across the customer experience and opens the door to faster, more efficient timelines to scale our offerings. It powers our first-party applications that include our customer-facing Udemy.com website, our Udemy Business web experience, our native mobile applications and new experiences. This approach also supports an expanding set of third-party ecosystem integrations, through industry standard interoperability with learning management systems and learning experience platforms, as well as other key business systems and tools.</w:t>
      </w:r>
    </w:p>
    <w:p>
      <w:pPr>
        <w:pStyle w:val="TextBody"/>
        <w:bidi w:val="0"/>
        <w:spacing w:lineRule="auto" w:line="288" w:before="120" w:after="283"/>
        <w:jc w:val="left"/>
        <w:rPr/>
      </w:pPr>
      <w:r>
        <w:rPr>
          <w:rFonts w:ascii="Arial;sans-serif" w:hAnsi="Arial;sans-serif"/>
          <w:b w:val="false"/>
          <w:i/>
          <w:color w:val="000000"/>
          <w:sz w:val="20"/>
        </w:rPr>
        <w:t>Powerful data.</w:t>
      </w:r>
      <w:r>
        <w:rPr>
          <w:color w:val="000000"/>
        </w:rPr>
        <w:t xml:space="preserve"> </w:t>
      </w:r>
      <w:r>
        <w:rPr>
          <w:rFonts w:ascii="Arial;sans-serif" w:hAnsi="Arial;sans-serif"/>
          <w:b w:val="false"/>
          <w:color w:val="000000"/>
          <w:sz w:val="20"/>
        </w:rPr>
        <w:t xml:space="preserve">We leverage a wealth of data to drive customer outcomes. Our differentiated learner feedback loops help improve instructor outcomes by sharing insights on where the market opportunities are and how they can enhance their teaching capabilities. For learners, our marketplace unlocks valuable data for personalized recommendations. This helps learners know the skills needed to achieve their goals, including demonstration of skills proficiency through badging and certification. And for organizations, we are able to share powerful insights to help them achieve their goals and assess ROI. Our platform’s ability to provide a personalized experience is further enhanced by the machine learning methodologies used to develop the algorithms included in our technology, which allow us to personalize each learner’s experience continuously and automatically. We regularly run tests to determine which product features, course recommendations, prices, and messaging will drive the best outcomes. </w:t>
      </w:r>
    </w:p>
    <w:p>
      <w:pPr>
        <w:pStyle w:val="TextBody"/>
        <w:bidi w:val="0"/>
        <w:spacing w:lineRule="auto" w:line="288" w:before="120" w:after="283"/>
        <w:jc w:val="left"/>
        <w:rPr/>
      </w:pPr>
      <w:r>
        <w:rPr>
          <w:rFonts w:ascii="Arial;sans-serif" w:hAnsi="Arial;sans-serif"/>
          <w:b w:val="false"/>
          <w:i/>
          <w:color w:val="000000"/>
          <w:sz w:val="20"/>
        </w:rPr>
        <w:t>Pricing optimization.</w:t>
      </w:r>
      <w:r>
        <w:rPr>
          <w:color w:val="000000"/>
        </w:rPr>
        <w:t xml:space="preserve"> </w:t>
      </w:r>
      <w:r>
        <w:rPr>
          <w:rFonts w:ascii="Arial;sans-serif" w:hAnsi="Arial;sans-serif"/>
          <w:b w:val="false"/>
          <w:color w:val="000000"/>
          <w:sz w:val="20"/>
        </w:rPr>
        <w:t>Our machine-learning pricing optimization approach is designed to make it easy and accessible for learners to purchase courses, which drives instructor earnings, thereby increasing incentives for instructors to supply more courses. We have built a global pricing engine that allows anyone to have access to our products at prices adjusted to the local purchase power parity in the local currency and using payment methods they are familiar with. This powers the global dynamics of our marketplace, promoting strong learner conversion that fuels Udemy’s global pipeline. We routinely adjust our algorithm to attain prices based on a variety of factors, with an ultimate goal of increasing conversion to paid enrollment. These algorithms use dozens of course characteristics, such as content category, length of course, average course rating, and topic popularity to determine the most effective price for each course on a per country basis.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 cross-functional, agile team of data scientists, machine-learning engineers, software engineers, and product managers focused on continuously improving our platform to address evolving customer needs. Thus far, the team has built algorithmic and model-driven solutions at scale to provide the following capabilities: personalized and differentiated experiences for all learners, comprehensive instructor tools for content delivery and student engagement, and insights dashboards for enterprises to track employee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continuously gather market research and leverage user data to optimize the content available on our platform. Through our deep understanding of learner needs, we aim to deliver the right learning content, packaged the right way, and offered at the right time. The data gathered also provides powerful insight tools and feedback to our instructors so they can improve their courses and ultimately preserve the high quality of our overall offering.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market opportunity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Before 2020, the majority of corporate training occurred offline. With the increase of internet connectivity, technological advances, work-from-home flexibility and interactive tools at a low cost, we expect to see a continued acceleration of the shift from offline to online. We believe that online education is well-positioned to address the scalability and affordability limitations that offline education presents.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data from Arizton, the market opportunity in online learning was estimated to be $180 billion in 2022. We calculate this estimate by aggregating the global corporate opportunity of $78 billion and the global e-learning opportunity of $102 billion, including government, vocation and higher-education. We believe that market opportunity could grow to $380 billion by 2028. Within that, the global corporate opportunity is expected to grow to $183 billion by 2028, or at a 15% compound annual growth rate, or CAGR.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are several macro trends that are driving this growth, specifically the increasing shift of organizations around the world to skills-based talent management practices and the rapid development of digital transformation as more professional jobs are impacted by generative AI, automation and technology. In addition, there is a growing need to offer cost-effective, flexible and personalized training to allow employees to learn at their own pace as more companies offer remote positions and strive to create a culture of continuous learning.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sales and marketing approach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built a data and technology-driven marketing engine that allows us to acquire learners across the globe efficiently. We have integrated our data flows with key marketing platforms to make near real-time decisions on bidding and targeting. We have also developed predictive lifetime value models that allow us to identify and acquire the most valuable learners. This engine allows us to be in control of our cost of acquisition, to grow customer lifetime values and manage our budgets to hit our ROI goals, while being flexible to adapt in real time to external trends and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marketing strategy focuses on brand and performance marketing, strategic partnerships and lifecycle monetization. Brand marketing increases awareness while performance marketing drives incremental traffic among potential learners. For example, we entered into a multi-year partnership, beginning in 2024, with McLaren Racing to become their Official Learning and Skills Partner and to build brand awareness among McLaren’s global fan base while showing the power of bringing a skills focus to the workplace.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strength of our community and brand drives significant organic acquisition, with the majority of our customers coming from unpaid channels. Finally, lifecycle marketing and monetization focuses on building personalization at scale, increasing learner retention and long-term value, optimizing prices and promotions, and testing new monetization models. Global instructors learn about Udemy in a variety of ways including awareness campaigns and by coming to the platform as learners.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24,000 free courses available on our consumer marketplace. These free courses represent an important entry point for learners to experience our platform, driving cost-effective top of the funnel engagement for both consumer and Udemy Business leads. Once learners interact with our platform, our machine-learning algorithms recommend courses for learners to purchase based on topic, quality, instructor rating, number of enrollments, learner’s country of origin and more. The algorithms help us drive customer conversion, maximizing revenue while offering the best experience and value to learners.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less than 15% of Udemy's traffic coming from the U.S., we are focused on ensuring that our marketing speaks to local audiences. Our design communications and production capabilities allow us to produce creatives that, while anchored on our global brand, also adapt to the cultural norms of the countries we advertise in. We leverage our global infrastructure to produce assets at scale and work with local language experts and native marketers to make the necessary adaptations for each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Go-to-market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sell to our Udemy Business customers both directly, through our sales teams, and indirectly, through third-party channels. Our Customer Success team engages pre-sale, ensuring that we understand the business objectives of that potential customer. Once an organization signs on, our Customer Success team partners closely with that organization to track progress toward business outcomes and determine opportunities for increasing adoption and usage. As we expand to new regions and countries, we first market to organizations to generate brand awareness and interest in our Udemy Business offering, and then our sales team identifies and engages with potential customers.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Historically, we have received a higher volume of orders from new and existing Udemy Business customers in the fourth quarter of each year as a result of industry buying patterns. We recognize revenues from Udemy Business subscription bookings over the life of the contract. We also have traditionally seen increased bookings in the Consumer segment as the result of various holiday promotions offered in the fourth quarter. We recognize revenue for consumer individual course purchases over an estimated service period of four months, while revenue for consumer subscriptions is recognized over the corresponding subscription term. As a result of these recognition practices, the quarter in which we generate the highest bookings may be different from the quarter in which we recognize the highest amount of net revenue, and our sequential growth in remaining performance obligations has historically been highest in the fourth quarter of each year. For more information, see the section titled “Management’s Discussion and Analysis of Financial Condition and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business depends on our intellectual property, the protection of which is critical to our success. We rely on a combination of intellectual property rights, including patents, trade secrets, trade dress, domain names, copyrights and trademarks to protect our competitive advantage.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we held 16 registered trademarks in the United States and 39 registered trademarks in foreign jurisdictions, which have various expiration dates between 2024 and 2033. We also have common law rights in some trademarks and pending trademark applications in the United States and foreign jurisdictions. In addition, we have registered domain names for websites that we use in our business, such as www.udemy.com and some other variations.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Human capital resources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Our employees are our greatest asset. We believe we have a world-class culture with employees committed to redefining the future of work through a skills based approach and continuous learning. Udemy is establishing a blueprint for companies transitioning to skills-based talent management and hiring practices, which we can share with our Udemy Business customers. In addition, we invest in areas to help us attract and retain top talent that support our core values. These include investments in sustainability, diversity, equity and inclusion, competitive total rewards, benefits and our distributed and flexible workforce.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recognition of our commitment to equal pay irrespective of gender, we received the Fair Pay Workplace certification in 2022. This certificate was a testament to our equity focused pay practices following an independent evaluation of our equity-focused pay practices, methods, strategies and action plan. Upholding pay transparency and equity remains a steadfast commitment in our organizational operations as we maintained our certification in 2023 and look forward to enhancing our practices in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proud of our internal focus on learning and development and leverage the Udemy Business platform to drive upskilling and career growth within our organization. “Always Learning” is a key value for our company. We hold regular “Drop Everything and Learn” hours to provide employees with dedicated time they can use to learn professional or personal skills offered on our platform. Due to these efforts, 95% of employees spent time learning on our platform during the fiscal year ended December 31, 2023. Employees from around the globe participated in our Leader Development programs, including MentorU, Udemy Manager, Invested Leader and Leadership Coaching. We had over 1,500 downloads of our Team Toolkit for Learning Essential Generative AI Skills designed and piloted by our team, which is just one example of how we are leading the transformation to a skills-based organization.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mission-driven approach to make skills development accessible to learners around the world helps drive recruitment to our team. We are committed to improving balanced representation across the company. Currently, 45% of our global workforce, 38% of our senior leadership, and 27% of our technical workforce identify as women as of December 31, 2023. One percent of our employees identified as non-binary or chose not to disclose their gender. On our board of directors, two out of seven members identify as women and one identifies as non-binary. Our balanced sourcing approach includes active partnerships with organizations like Black Women in Tech, Project One, Power to Fly, AfroTech, and Lesbians Who Tech among others. Our benefits reflect the diversity of our workforce. In addition to competitive health and retirement benefits, we offer WholeU benefits, a comprehensive suite to care for employees’ emotional, physical, and financial well being.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we had 1,443 full-time employees. In February 2023, Udemy announced a reduction in force of approximately 10% due to macroeconomic conditions and to further streamline our operations and cost structure. None of our employees are represented by unions. We consider the relationship with our employees to be strong and have not experienced interruptions of operations due to labor disagreements.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Environmental, social, and governance (ESG)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At Udemy, we believe that anyone can build the life they imagine by gaining access to the knowledge and skills they need to succeed in an ever-changing world. We encourage innovation, creativity, passion, and teamwork, and we strive to create a better world for all stakeholders including learners, instructors, customers, employees, our communities, and our investors. We recognize that Environmental Social and Governance, or ESG, work is critical to our brand, reputation, learners, instructors, and employees.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During the fiscal year ended December 31, 2023, Udemy implemented new programs and policies covering Human Rights, Supplier Diversity and Ethical Sourcing, Political Contributions and Lobbying, and Advertising. Our efforts are recognized by the ESG rating agency Sustainalytics/Morningstar, which rated Udemy in the top percentile of the Internet Software and Services Sub-industry category for the third year in a row.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ESG is a fast-growing learning category for enterprises globally, and currently ESG is the second trending learning topic for Udemy Business. In 2023 over 55,000 learners accessed ESG-related courses and completed over 120 thousand hours of learning, which we believe underscores the broader societal benefits of Udemy’s content collections.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Additional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make available free of charge through our investor relations website, investors.udemy.com, our annual reports, quarterly reports, current reports, proxy statements and all amendments to those reports as soon as reasonably practicable after such material is electronically filed or furnished with the SEC. These reports may also be obtained without charge by contacting Investor Relations, Udemy, Inc., 600 Harrison Street, 3rd Floor, San Francisco, California 94107, e-mail: ir@udemy.com. Our Internet website and the information contained therein or incorporated therein are not intended to be incorporated into this Annual Report on Form 10-K. In addition, the SEC maintains an Internet site that contains reports, proxy and information statements and other information regarding reports that we file or furnish electronically with them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Certain factors may have a material adverse effect on our business, financial condition, and results of operations. You should carefully consider the following risks, together with all of the other information contained in this Form 10-K, including the sections titled “Special Note Regarding Forward-Looking Statements” and “Management’s Discussion and Analysis of Financial Condition and Results of Operations” and our financial statements and the related notes included elsewhere in this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Risks related to our business and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have a history of losses, and we may not be able to generate sufficient revenue to achieve or maintain profitability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incurred net losses of $107.3 million, $153.9 million, and $80.0 million during the fiscal years ended December 31, 2023, 2022, and 2021 respectively, and, as of December 31, 2023, we had an accumulated deficit of $719.7 million. We expect our losses to continue as we make significant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will make achieving and maintaining profitability more difficult, and these efforts may also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on a consistent basis. As a result, we can provide no assurance as to whether or when we will achieve profitability. If we are not able to achieve and maintain profitability, the value of our company and our common stock could decline significantly, and you could lose some or all of your investment.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 an emerging and dynamic market, which makes it difficult to evaluate our prospects and future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market for online learning solutions is relatively new and continues to evolve rapidly. These factors may make it difficult to accurately assess our future prospects and the risks, challenges, and uncertainties that we may encounter. These risks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maintaining and increasing a base of learners, instructors, and UB customers using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competing with existing and future participants in the market for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expanding our business in existing markets and entering new markets and geographies;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anticipating and responding to market and broader economic conditions;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avoiding interruptions or disruptions in the service of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accurately forecasting our revenue and operating expenses on a quarterly and annual basis;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maintaining and enhancing the value of our reputation and brand;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attracting, hiring, and retaining qualified personnel to manage our operations and further develop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effectively managing rapid growth in our operations, including personnel;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implementing and executing our business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because we operate in a rapidly evolving market, any predictions about our future revenue and expenses may not be as accurate as they would be if we operated in a more established and predictable market. We have encountered in the past, and will encounter in the future, risks, challenges, and uncertainties frequently experienced by companies operating in emerging markets.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results of operations may fluctuate significantly from period to period due to a wide range of factors, which makes our future results difficult to predict. </w:t>
      </w:r>
    </w:p>
    <w:p>
      <w:pPr>
        <w:pStyle w:val="TextBody"/>
        <w:bidi w:val="0"/>
        <w:spacing w:lineRule="auto" w:line="288" w:before="120" w:after="283"/>
        <w:jc w:val="left"/>
        <w:rPr/>
      </w:pPr>
      <w:r>
        <w:rPr>
          <w:rFonts w:ascii="Arial;sans-serif" w:hAnsi="Arial;sans-serif"/>
          <w:b w:val="false"/>
          <w:color w:val="000000"/>
          <w:sz w:val="20"/>
        </w:rPr>
        <w:t xml:space="preserve">Our results of </w:t>
      </w:r>
      <w:r>
        <w:rPr>
          <w:rFonts w:ascii="Arial;sans-serif" w:hAnsi="Arial;sans-serif"/>
          <w:b w:val="false"/>
          <w:color w:val="000000"/>
          <w:sz w:val="20"/>
          <w:shd w:fill="FFFFFF" w:val="clear"/>
        </w:rPr>
        <w:t>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r>
        <w:rPr>
          <w:color w:val="000000"/>
        </w:rPr>
        <w:t xml:space="preserv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attract and retain learners, instructors, and enterprises that use our platform in a cost-effective manner;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accurately forecast revenue and operating expenses;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effects of increased competition on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worldwide economic conditions, including the resulting effect on consumer and business spending on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expand in existing markets and successfully enter new markets;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successfully leverage our resellers and other strategic relationships to market and sell our products;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learner or customer behavior with respect to online learning solutions;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increases in marketing, sales, and other operating expenses that we may incur to grow and acquire new learners, instructors, and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revenue mix between our consumer and UB offerings;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maintain an adequate rate of growth and effectively manage that growth;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effects of changes in search engine placement and prominence;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keep pace with technology changes in our industry;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success of our sales and marketing efforts;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protect, maintain, and enforce our intellectual property rights;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defending claims, including intellectual property infringement claims, and related judgments or settlements;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governmental or other regulations affecting our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interruptions in service and any related impact on our business, reputation, or brand;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attraction and engagement of qualified employees and key personnel;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choose and effectively manage third-party service providers;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effects of natural or man-made catastrophic events, including wars and other armed conflicts, such as Russia’s invasion of Ukraine, and the conflict between Israel and Hamas in Gaza;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a pandemic or an outbreak of disease or similar public health concern, such as the COVID-19 pandemic, or fear of such an event;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effectiveness of our internal controls over financial reporting;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impact of payment processor costs and procedures;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our tax rates or exposure to additional tax liabilities.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unpredictability of our results of operations could cause our results to vary from period to period or to fall below expected levels for a given period, which will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Our rapid growth may not be sustainable and depends on our ability to attract new learners, instructors, and organizations and retain existing ones.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Enterprise and Consumer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at its current pace or at all. For example, there is significant uncertainty regarding the adoption and growth of remote, online and asynchronous learning and training, as well as skills-based learning, compared to the traditional models of education and training, which may adversely affect demand for our platform. In addition, we have recently experienced elongated sales cycles for our UB offerings as a result of what we believe to be budget tightening as a result of economic uncertainty. If we fail to grow or maintain the number of learners and instructors engaging with our platform, the value of our platform will diminish and our revenue will decline.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many of our new learners find us by word of mouth and other non-paid referrals from existing learners. If existing learners do not find our platform or its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 further negatively impacted. The willingness or ability of instructors to provide content for our platform could also be negatively impacted by other factors, such as: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complaints or negative publicity about us or our platform, even if factually incorrect or based on isolated incidents;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to our terms and policies that our instructors find, or even perceive, to be unpopular or that are not clearly articulated to them;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failure or perceived failure to enforce our policies fairly and transparently.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harm our growth prospects and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platform relies on a limited number of instructors who create a significant portion of the most popular content on our platform, and the loss of these instructor relationships could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rPr>
        <w:t>We strive to build meaningful connections with instructors, ranging from those that are well known and have created extensively to those that have just begun the process of creating courses. We are expanding our platform, using generative AI, to improve our instructors’ ability create additional modalities and hands-on learning experiences. As of December 31, 2023, we had relationships with 75,000 instructors. Although we view the breadth and diverse expertise of our instructor base and the content they create as one of our competitive advantages, a significant portion of the most popular content on our platform, and as a result a significant portion of our revenue, is attributable to a limited number of our instructor</w:t>
      </w:r>
      <w:r>
        <w:rPr>
          <w:rFonts w:ascii="Arial;sans-serif" w:hAnsi="Arial;sans-serif"/>
          <w:b w:val="false"/>
          <w:color w:val="000000"/>
          <w:sz w:val="20"/>
          <w:shd w:fill="FFFFFF" w:val="clear"/>
        </w:rPr>
        <w:t>s. B</w:t>
      </w:r>
      <w:r>
        <w:rPr>
          <w:rFonts w:ascii="Arial;sans-serif" w:hAnsi="Arial;sans-serif"/>
          <w:b w:val="false"/>
          <w:color w:val="000000"/>
          <w:sz w:val="20"/>
        </w:rPr>
        <w:t xml:space="preserve">ecause instructors may unpublish content or leave the Udemy platform altogether, subject to our right to continue offering such content to new learners on the consumer marketplace for 60 days afterwards and in our subscription offerings for 12 months afterwards, we may need to source replacement content by a different instructor on short notice. For example, we recently announced a change in our revenue share model with instructors, which became effective at the beginning of 2024, which could cause some instructors to unpublish content or leave the Udemy platform. Although we do not believe the loss of any one of these instructors would materially impact our business, the loss of multiple existing instructors, as well as any failure to attract additional instructors, could negatively impact our business, financial condition and results of operations by adversely affecting our ability to provide high-quality, engaging, and relevant content for one or more subject matters and the pace at which we provide such content, which in turn could reduce the attractiveness of our platform to learners and customers.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fail to maintain and expand our relationships with UB customers, our ability to grow our business and revenue will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Revenue from our Enterprise segment represented 58%, 50%, and 36% of total revenue during the fiscal years ended December 31, 2023, 2022, and 2021,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the continued growth of our business requires that our customers renew their subscriptions with us and that we expand our relationships with our existing customers. Customers may decide not to renew their subscriptions with a similar contract period, at the same prices and terms, with the same or a greater number of users, or at all.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reductions in customers’ spending levels, insufficient adoption of our platform by our customers’ constituents, and new feature releases, any of which could cause our revenue to decline or grow less quickly than anticipated, which would harm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 a highly competitive market, and we may not be able to compete successfully against current and future competitors.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operate in a highly competitive environment, as the market for online learning is relatively new, fragmented, and rapidly evolving, with limited barriers to entry. We compete for learners, enterprise customers, and instructors: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Learners</w:t>
      </w:r>
      <w:r>
        <w:rPr>
          <w:rFonts w:ascii="Arial;sans-serif" w:hAnsi="Arial;sans-serif"/>
          <w:b w:val="false"/>
          <w:color w:val="000000"/>
          <w:sz w:val="20"/>
        </w:rPr>
        <w:t xml:space="preserve">: We compete for learners based on our course catalog, instructors, and learning tools.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UB customers</w:t>
      </w:r>
      <w:r>
        <w:rPr>
          <w:rFonts w:ascii="Arial;sans-serif" w:hAnsi="Arial;sans-serif"/>
          <w:b w:val="false"/>
          <w:color w:val="000000"/>
          <w:sz w:val="20"/>
        </w:rPr>
        <w:t xml:space="preserve">: We compete for customers based on our up-to-date content, the breadth and depth of that content across the full range of core business functions, and advanced product features that optimize self-paced learning and enable organizations to effectively drive programmatic learning. </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Instructors</w:t>
      </w:r>
      <w:r>
        <w:rPr>
          <w:rFonts w:ascii="Arial;sans-serif" w:hAnsi="Arial;sans-serif"/>
          <w:b w:val="false"/>
          <w:color w:val="000000"/>
          <w:sz w:val="20"/>
        </w:rPr>
        <w:t xml:space="preserve">: We compete for instructors based on our ability to promote monetization opportunities.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competition includes corporate training offerings, direct-to-consumer training offerings, specialized content training offerings, and free online resources used to gather and share knowledge and skills.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expect our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The emergence of enhanced generative artificial intelligence capabilities could provide competitors with an advantage.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customers may choose to continue using or develop their own online learning or training solutions in-house rather than pay for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our ability to successfully compete depends on a range of factors, both within and beyond our control, including: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availability or development of alternative online learning platforms that are more compelling to learners, instructors, or organizations than ours;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pricing policies and terms offered by our competitors or by us, including for example the change in our revenue share with instructors that became effective at the beginning of 2024;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to adapt to or compete with new technologies and changes in requirements of our learners, instructors, and UB customers;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ability to adapt to disruptive innovation that may significantly alter or transform the competitive landscape, such as natural language processing, artificial intelligence and machine learning;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acquiring and retaining learners, instructors,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ability of our current and future competitors to establish relationships with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industry consolidation and the number and rate of new entrants;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with software development that could delay or prevent the development, introduction or implementation of platform modifications and enhancements;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costs associated with improving and maintaining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Current and potential competitors (including any new entrants into the market) may enjoy substantial competitive advantages over us, such as greater name recognition, longer operating histories, market- or industry-specific knowledge, more successful marketing capabilities, more successful adaptation to or integration of emerging technologies such as artificial intelligence,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market for online learning solutions may not grow as we expect, which may harm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future success depends in part on the future growth in the demand for online learning solutions. We expect that broader societal and macroeconomic conditions, including inflation, interest rates, general economic uncertainty, and the prevalence of remote or hybrid work, will influence the further development of the online learning market and the growth rate of remote, online and asynchronous learning and training solutions such as ours. In addition, the rate at which online learning solutions are adopted by learners or UB customers may also depend on a variety of factors specific to individual learners or UB customers, such as budget constraints and training needs.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need to change our pricing model for our platform’s offerings, which in turn could adversely impact our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 the past, and expect that we may in the future, need to change our pricing model or target contract length from time to time. As the market for our learning platform develops, as new competitors introduce competitive applications or services, or as we enter into new international markets, we may be unable to attract new learners or UB customers at the same price or based on the same pricing models we have historically used, or for contract lengths consistent with our historical averages. In addition, as we develop and roll out new products, such as Personal Plan (our consumer subscription model), or improve existing ones, we will need to develop pricing and contract models for these products that appeal to consumer learners over time, and we may not be successful in doing so. Pricing and contract length decisions may also impact the mix of adoption among our offerings and negatively impact our overall revenue. Competition may also require us to make substantial price concessions. Moreover, our pricing model and methodology has been, and may in the future become, subject to legal challenge under applicable federal or state laws, regulations, and guidelines relating to promotional pricing practices. Our results of operations may be adversely affected by any of the foregoing, and we may have increased difficulty achieving or maintaining profitability. </w:t>
      </w:r>
    </w:p>
    <w:p>
      <w:pPr>
        <w:pStyle w:val="TextBody"/>
        <w:bidi w:val="0"/>
        <w:spacing w:lineRule="auto" w:line="288" w:before="180" w:after="283"/>
        <w:jc w:val="left"/>
        <w:rPr/>
      </w:pPr>
      <w:r>
        <w:rPr>
          <w:rFonts w:ascii="Arial;sans-serif" w:hAnsi="Arial;sans-serif"/>
          <w:b/>
          <w:i/>
          <w:color w:val="000000"/>
          <w:sz w:val="20"/>
        </w:rPr>
        <w:t>Failure to effectively leverage our strategic partnerships to market and sell our products could impact our ability to increase brand awareness and grow our revenue</w:t>
      </w:r>
      <w:r>
        <w:rPr>
          <w:rFonts w:ascii="Arial;sans-serif" w:hAnsi="Arial;sans-serif"/>
          <w:b/>
          <w:i/>
          <w:color w:val="000000"/>
          <w:sz w:val="18"/>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rely on strategic partners, including resellers, for certain sales and marketing efforts. We plan to continue to establish and maintain similar strategic relationships, and we expect these partners to become an increasingly important aspect of our business. Identifying partners and negotiating terms with them requires significant time and resources, and we are dependent on our ability to negotiate terms that are favorable to us and provide sufficient incentives for our partners to promote our products. In addition, we have granted exclusivity to resellers in certain geographies, such as Japan, and so we are entirely dependent on the sales efforts of our resellers in those regions. We also recently announced our strategic partnership with McLaren Racing to build our brand awareness among McLaren Racing’s fan base. If our partners do no not effectively sell or market our products, choose to promote our competitors’ products or otherwise choose not to devote sufficient efforts to our business, our ability to grow our revenue may be impaired, and our results of operations may suffer.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Failure to effectively expand our sales and marketing capabilities could harm our ability to increase our base of learners and UB customers and achieve broader market acceptance.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invested in and plan to continue expanding our sales and marketing organizations, both domestically and internationally. Identifying, recruiting, training, and retaining talented sales and marketing personnel will require significant time, expense, and attention, and if we are unable to do so, or if the hired personnel are unable to achieve desired productivity levels in a reasonable period of time,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are not able to maintain and enhance our brand, our reputation and business may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maintaining and enhancing our reputation and brand recognition is critical to our ability to attract and retain learners, instructors, UB customers, and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market our platform effectively and efficiently;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useful, innovative, and reliable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high satisfaction among learners, instructors,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a high quality and perceived value for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successfully differentiate our platform from competing offerings;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maintain a consistently high level of customer service;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prevent any actual or perceived data security breach or incident or data loss, or misuse or perceived misuse of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our reputation and brand recognition may be affected by factors that are beyond our control, such as: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actions of competitors or other third parties;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quality and quantity of, as well as the nature and subject matter of, content available from instructors on our platform;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positive or negative publicity, including with respect to events or activities attributed to us, our employees, instructors, or our commercial partners;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interruptions, delays, or attacks on our platform;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litigation or legal developments.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could face liability, or our reputation might be harmed, as a result of courses posted to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 they may not do so. As a result, we are subject to potential liability to third parties for the unauthorized duplication, distribution, or other use of this material. In addition, third parties have alleged, and in the future may allege, misappropriation, plagiarism, defamation, disparagement or similar claims related to content appearing on our platform. Any such claims could subject us to costly litigation, regardless of whether the claims have merit. Moreover, there can be no assurance that our responses to complaints by third-party content owners regarding intellectual property violations will be sufficient to protect us from adverse claims.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val="false"/>
          <w:color w:val="000000"/>
          <w:sz w:val="20"/>
          <w:shd w:fill="FFFFFF" w:val="clear"/>
        </w:rPr>
        <w:t xml:space="preserve">Where applicable, we rely on a variety of statutory and common law frameworks and defenses, including those provided by the Digital Millennium Copyright Act of 1998, the Communications Decency Act (the “CDA”), the fair-use doctrine in the United States and the E-Commerce Directive in the European Union (the “E.U.”). However, the availability, scope, and application of such frameworks, defenses, and statutes varies across the many jurisdictions in which we operate, and the applicable limitations on immunity, requirements to maintain immunity, and moderation efforts required in the many jurisdictions in which we operate may affect our ability to rely on these frameworks and defenses, or create uncertainty regarding liability for content posted to our platform. </w:t>
      </w:r>
      <w:r>
        <w:rPr>
          <w:rFonts w:ascii="Arial;sans-serif" w:hAnsi="Arial;sans-serif"/>
          <w:b w:val="false"/>
          <w:color w:val="000000"/>
          <w:sz w:val="20"/>
        </w:rPr>
        <w:t xml:space="preserve">Moreover, regulators in the United States and in other countries in which we operate may introduce new regulatory regimes or modify existing regulatory regimes, including in ways that increase potential liability for information or content available on or through our platform or the content moderation decisions we make with respect to our platform, or which impose additional obligations to monitor such information or content, which could increase our costs.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Failure of our resellers or other commercial partners to use acceptable ethical business practices or comply with applicable laws could negatively impact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revenue, results of operations, and financial condition could be negatively affected by general economic conditions.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conditions or uncertainty regarding future economic conditions, including as a result of public health concerns like the COVID-19 pandemic, inflation, and instability in the banking or financial services industries or in financial and capital markets, could significantly reduce the overall amount that learners and organizations spend on, and the frequency of, online learning or result in delays to planned spending on online learning. Any or all of these factors could reduce the demand for our services, reducing our revenue and potentially increasing our need to make significant expenditures to continue to attract learners and UB customers to our platform. Additionally, adverse developments affecting the banking or financial services industries or the financial and capital markets, such as actual events or concerns involving liquidity, defaults or non-performance by financial institutions or transactional counterparties, could negatively affect our revenue, results of operations and financial condition.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business and operations could be materially and adversely affected by natural disasters, public health crises, political crises, or other catastrophic events.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business and operations could be materially and adversely affected by catastrophic events, such as earthquakes, floods, fires, telecommunications failures, power losses, break-ins, acts of terrorism, wars and other armed conflicts, political or geopolitical crises, inclement weather and public health crises.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catastrophic events were to cause damage to our properties or interrupt our operations, our results of operations would suffer. Global climate change may result in natural disasters occurring more frequently or with greater intensity, such as drought, wildfires, storms, sea-level rise, and flooding. We may not be able to effectively adapt our operations to avoid disruptions arising from the occurrence of such events, and our business could be affected adversely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business could be harmed if we fail to manage our growth effectively.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rapid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enhancing our scalability in order to maintain the performance of our platform. </w:t>
      </w:r>
    </w:p>
    <w:p>
      <w:pPr>
        <w:pStyle w:val="TextBody"/>
        <w:bidi w:val="0"/>
        <w:spacing w:lineRule="auto" w:line="288" w:before="120" w:after="283"/>
        <w:jc w:val="left"/>
        <w:rPr/>
      </w:pPr>
      <w:r>
        <w:rPr>
          <w:rFonts w:ascii="Arial;sans-serif" w:hAnsi="Arial;sans-serif"/>
          <w:b w:val="false"/>
          <w:color w:val="000000"/>
          <w:sz w:val="20"/>
        </w:rPr>
        <w:t>Our growth has placed, and will likely continue to place, a significant strain on our managerial, administrative, operational, financial, and other resources.</w:t>
      </w:r>
      <w:r>
        <w:rPr>
          <w:color w:val="000000"/>
          <w:shd w:fill="FFFFFF" w:val="clear"/>
        </w:rPr>
        <w:t xml:space="preserve"> </w:t>
      </w:r>
      <w:r>
        <w:rPr>
          <w:rFonts w:ascii="Arial;sans-serif" w:hAnsi="Arial;sans-serif"/>
          <w:b w:val="false"/>
          <w:color w:val="000000"/>
          <w:sz w:val="20"/>
          <w:shd w:fill="FFFFFF" w:val="clear"/>
        </w:rPr>
        <w:t>In February 2023, we announced a reduction in force involving approximately 10% of our global workforce as part of our efforts to decrease our costs during the current macroeconomic environment and create a more streamlined organization to support our business. Future growth in our organization could place additional strain on our existing resources, and we could experience systemic operating difficulties in managing our business,</w:t>
      </w:r>
      <w:r>
        <w:rPr>
          <w:color w:val="000000"/>
        </w:rPr>
        <w:t xml:space="preserve"> </w:t>
      </w:r>
      <w:r>
        <w:rPr>
          <w:rFonts w:ascii="Arial;sans-serif" w:hAnsi="Arial;sans-serif"/>
          <w:b w:val="false"/>
          <w:color w:val="000000"/>
          <w:sz w:val="20"/>
        </w:rPr>
        <w:t xml:space="preserve">which may negatively impact our gross profit or operating expenses.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future success depends on our ability to retain our senior management team and other highly skilled employees and to attract, retain, and motivate our qualified personnel.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 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Additionally, changes in our compensation structure, workforce reductions (including the reduction in force we announced in February 2023), or any previously implemented reductions in workforce and other cost reduction efforts may be negatively received by employees and result in attrition or recruiting difficulties. If we fail to attract new employees or fail to retain and motivate our current employees, our business and future growth prospects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Acquisitions and other strategic investments may expose us to significant risks, any of which could materially and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in the past pursued, and may in the future pursue, acquisitions of, or strategic investments in, businesses, technologies, services and other assets that complement our business. For example, in August 2021, we announced our acquisition of CUX, Inc. (d/b/a CorpU) (“CorpU”), an online leadership development platform. We have limited experience as an organization with successfully executing and managing acquisitions and strategic investments. These kinds of transactions involve numerous risks, including the following: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in realizing the anticipated economic, operational and other benefits of the acquisition or strategic investment successfully or in a timely manner;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failure of businesses we acquire or invest in to achieve anticipated revenue, earnings, or cash flow;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diversion of management’s attention or other resources from our existing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any inability to maintain the key customers, business relationships, suppliers, and brand potential of businesses we acquire or invest in;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uncertainty of entry into businesses or geographies in which we have limited or no prior experience or in which competitors have stronger positions;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unanticipated or greater costs than expected associated with pursuing acquisitions or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difficulties in, or costs associated with, any integration process, such as challenges associated with assigning or transferring acquired intellectual property or intellectual property licenses; integrating and auditing financial statements of acquired companies that have not historically prepared financial statements in accordance with generally accepted accounting principles in the United States (“GAAP”); and integrating the workforce of acquired companies and the potential loss of key employees of the acquired companies;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inability to maintain our culture and values, ethical standards, controls, procedures, and policies;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asset write-offs and impairments of goodwill and intangible assets in connection with any acquisition or strategic investment, as well as any inability to accurately forecast such impacts.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not succeed in addressing these or other risks in connection with any acquisitions or strategic investments we undertake, which could have a material adverse effect on our business, financial condition, and results of operations. Furthermore, we may have to pay cash, incur debt or issue equity or equity-linked securities to finance any acquisitions or investments, which could also adversely affect our financial condition or the trading price of our securities, and the sale of equity or equity-linked securities could result in dilution to our stockholders.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need to raise additional funds to pursue our growth strategy or continue operations, and we may be unable to raise capital when needed or on acceptable terms.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 If financing is not available on satisfactory terms, or at all, we may be unable to expand our business at the rate desired and our results of operations may suffer.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operate internationally and we plan to continue expanding our international operations, which exposes us to risks inherent in international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Managing a global organization requires significant resources and management attention. We currently maintain operations outside of the United States in Ireland, Turkey, Australia, and India, and we plan to expand our international operations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generated 60%, 59%, and 61% of revenue outside of North America during the fiscal years ended December 31, 2023, 2022, and 2021, respectively. Based on our instructor registration records, we estimate that a majority of our instructors are located outside the United States. Any further international expansion efforts that we may undertake may not be as successful as we expect or at all.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conducting international operations subjects us to risks that we have not generally faced in the United States. These risks include: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cost and resources required to localize our services, which requires the translation of our websites into foreign languages and adaptation for local practices and regulatory requirements;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competition with local market participants who understand the local market better than we do or who have pre-existing relationships with our potential learners and UB customers in those markets;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greater reliance on third-party resellers and other commercial partners for the distribution and marketing of our offerings;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legal uncertainty regarding our liability for the content and services provided by our instructors, including as a result of local laws or a lack of clear precedent of applicable law;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burdens of complying with a wide variety of foreign laws and legal standards;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lack of familiarity with and unexpected changes in foreign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adapting to variations in methods of payment from learners and UB customers;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in managing and staffing international operations;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fluctuations in currency exchange rates;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potentially adverse tax consequences, including the complexities of foreign value added tax systems, digital services tax and restrictions on the repatriation of earnings;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increased financial accounting and reporting burdens and complexities and difficulties in implementing and maintaining adequate internal controls;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political, social, and economic instability abroad, wars and other armed conflicts, terrorist attacks, and security concerns in general, including Russia’s invasion of Ukraine and the conflict between Israel and Hamas in Gaza;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reduced or varied protection for intellectual property rights in some countries;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higher telecommunications and internet service provider costs.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Operating in international markets also requires significant management attention and financial resources. The investment and additional resources required to establish operations and manage growth in other countries may not produce desired levels of revenue or profitability.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strategic and other relationships with partners overseas may also subject us to additional regulatory scrutiny in the United States and other jurisdictions. Operating in international markets could also increase our business exposure to the effects of trade and economic sanctions regulations. See “—We are subject to governmental export and import controls and regulations that could impair our ability to compete in international markets and subject us to liability if we are not in full compliance with applicable laws.”</w:t>
      </w:r>
    </w:p>
    <w:p>
      <w:pPr>
        <w:pStyle w:val="TextBody"/>
        <w:bidi w:val="0"/>
        <w:spacing w:lineRule="auto" w:line="288" w:before="120" w:after="283"/>
        <w:jc w:val="left"/>
        <w:rPr/>
      </w:pPr>
      <w:r>
        <w:rPr>
          <w:rFonts w:ascii="Arial;sans-serif" w:hAnsi="Arial;sans-serif"/>
          <w:b w:val="false"/>
          <w:color w:val="000000"/>
          <w:sz w:val="20"/>
        </w:rPr>
        <w:t xml:space="preserve">Further, as we continue to expand internationally, we could also become subject to increased difficulties in collecting accounts receivable (including as a result of international sanctions or other trade restrictions affecting the geographies in which we or our learners or customers are present), repatriating money without adverse tax consequences, and risks relating to foreign currency exchange rate fluctuations. </w:t>
      </w:r>
      <w:r>
        <w:rPr>
          <w:rFonts w:ascii="Arial;sans-serif" w:hAnsi="Arial;sans-serif"/>
          <w:b w:val="false"/>
          <w:color w:val="000000"/>
          <w:sz w:val="20"/>
          <w:shd w:fill="FFFFFF" w:val="clear"/>
        </w:rPr>
        <w:t xml:space="preserve">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subject to laws and regulations worldwide, and failure to comply with such laws and regulations could subject us to claims or otherwise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shd w:fill="FFFFFF" w:val="clear"/>
        </w:rPr>
        <w:t>We are subject to a variety of laws in the U.S. and abroad that affect our business. As a global platform with learners and instructors</w:t>
      </w:r>
      <w:r>
        <w:rPr>
          <w:color w:val="000000"/>
        </w:rPr>
        <w:t xml:space="preserve"> </w:t>
      </w:r>
      <w:r>
        <w:rPr>
          <w:rFonts w:ascii="Arial;sans-serif" w:hAnsi="Arial;sans-serif"/>
          <w:b w:val="false"/>
          <w:color w:val="000000"/>
          <w:sz w:val="20"/>
        </w:rPr>
        <w:t>in over 180 countries, w</w:t>
      </w:r>
      <w:r>
        <w:rPr>
          <w:rFonts w:ascii="Arial;sans-serif" w:hAnsi="Arial;sans-serif"/>
          <w:b w:val="false"/>
          <w:color w:val="000000"/>
          <w:sz w:val="20"/>
          <w:shd w:fill="FFFFFF" w:val="clear"/>
        </w:rPr>
        <w:t>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export and national security, tariffs, anti-corruption and telecommunications, all of which are continuously evolving and developing.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use machine learning and artificial intelligence throughout the business. As the regulatory framework for machine learning technology and artificial intelligence evolves, our business, financial condition, and results of operations may be adversely affected. The regulatory framework for machine learning technology, artificial intelligence and automated decision making is evolving. It is possible that new laws and regulations will be adopted in the United States and in non-U.S. jurisdictions, or that existing laws and regulations may be interpreted in ways that would affect the operation of our learning platforms and the way in which we use artificial intelligence and machine learning technology. Further,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subject to governmental export and import controls and regulations that could impair our ability to compete in international markets and subject us to liability if we are not in full compliance with applicable laws.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business activities are subject to various restrictions under U.S. export and similar laws and regulations, including trade and economic sanctions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Although we take precautions to prevent our platform from being provided in violation of such laws and regulations, our platform could nevertheless be provided inadvertently in violation of such laws.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Failure to comply with anti-bribery, anti-corruption, and anti-money laundering laws, and similar laws, could subject us to penalties and other adverse consequences.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subject to the anti-bribery and anti-money laundering laws in the U.S. and other applicable jurisdictions.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Any allegations or violations of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are from time to time involved in claims, lawsuits, government investigations, and other proceedings that could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Our sales to government clients expose us to additional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derive a portion of our revenue from sales to US federal, state and local governmental agencies, as well as foreign governments and agencies. Government demand for our offerings may be impacted by government shutdowns, public sector budgetary cycles, contracting requirements, and funding authorizations, with funding reductions or delays adversely affecting public sector demand for our products and subscriptions. Some agreements may allow a government to terminate without cause and provide for higher liability limits for certain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as a government contractor, we must comply with laws, regulations, and contractual provisions relating to the formation, administration, and performance of government contracts, which affect how we do business with government agencies. As a result of actual or perceived noncompliance with these laws, regulations, or contractual provisions, we may be subject to non-ordinary course audits and internal investigations, which may prove costly to our business, divert management time, or limit our ability to continue selling our products and services to our government customers. Any violation of government contracting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and regulations or contract terms could result in the imposition of various civil and criminal penalties, which may include termination of contracts, forfeiture of profits, suspension of payments and fines, treble damages, and suspension from future government contracting. Also, engaging in sales activities to foreign governments introduces additional compliance risks specific to the U.S. Foreign Corrupt Practices Act, the U.K. Bribery Act, and other similar statutory requirements prohibiting bribery and corruption in the jurisdictions in which we operate. All these factors add further risk to business conducted with these customers.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Adherence to our values and our focus on long-term sustainability may negatively impact our short- or medium-term financial performance.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 financial results. However, these longer-term benefits may not materialize within the timeframe we expect or at all. For example: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choose to prohibit certain content from our platform that we believe is inconsistent with our values even though we could benefit financially from the sale of that content;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choose to revise our policies in ways that we believe will be beneficial to our learners, instructors, and UB customers in the long term even though the changes may be perceived unfavorably among our existing learners, instructors, and customers;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may take actions, such as locating our servers in low-impact data centers, that reduce our environmental footprint even though these actions may be more costly than other alternatives.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learner, instructor, and UB customer retention may be negatively impacted. We also expect to incur additional costs and devote additional resources to monitor, report and implement various ESG practices, including as a result of regulatory developments.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Inadequate self-insurance accruals or insurance coverage for employee healthcare benefits could have an adverse effect on our business, financial results or financial condition.</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Beginning in 2023, we became self-insured for certain medical benefits, up to certain stop-loss limits. We accrue these costs based on known claims and estimates of incurred but not reported claims. Our actual liabilities may exceed our estimates of losses. We may also experience an unexpectedly large number of claims that result in costs or liabilities in excess of our projections, which could cause us to record additional expenses.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technology, privacy, and cybersecurity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receive, transmit, store, and otherwise process personal information and other data relating to our learners, instructors, and other individuals, such as our employees. Numerous local, municipal, state, federal, and international laws and regulations address privacy, data protection, cybersecurity, and the collection, storing, use, disclosure, protection, and other processing of certain types of data. These laws, rules, and regulations evolve frequently and their scope may continually change, through new legislation, amendments to existing legislation, and changes in enforcement, and may be inconsistent from one jurisdiction to another.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example, the E.U. General Data Protection Regulation (“GDPR”) has resulted and will continue to result in significantly greater compliance burdens and costs for companies like ours. The GDPR regulates our collection, control, sharing, use, disclosure, and other processing of personal data of individuals in the E. U. Actual or alleged failure to comply with the GDPR may result in fines of up to 20 million euros or up to 4% of the annual global revenue of the infringer, whichever is greater. It may also lead to civil litigation, with the risks of damages, injunctive relief, or regulatory orders adversely impacting our processing of personal data.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United Kingdom maintains a United Kingdom version of the GDPR (combining the GDPR and the United Kingdom Data Protection Act of 2018), referred to as the U.K. GDPR, which provides for fines of up to 17.5 million British pounds sterling or 4% of global turnover, whichever is greater. The relationship between the United Kingdom and the E.U. in relation to certain aspects of data protection law is subject to uncertainty. On June 28, 2021, the European Commission announced a decision of “adequacy” concluding that the United Kingdom ensures an equivalent level of data protection to the GDPR, generally permitting personal data transfers from the European Economic Area (the “EEA”) to the United Kingdom. This adequacy determination must, however, be renewed after four years and may be modified or revoked in the interim. We cannot fully predict how United Kingdom data protection laws or regulations may develop nor the effects of divergent laws and guidance, including those relating to data transfers. Changes with respect to any of these matters may lead to additional costs and increase our risk exposure.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Additionally, we are or may become subject to laws, rules, and regulations regarding cross-border transfers of personal data, including transfers of personal data outside the EEA, Switzerland and the United Kingdom. Recent developments have created complexity and uncertainty regarding transfers of personal data from the EEA to the U.S. and other jurisdictions. In 2020, the Court of Justice of the European Union (the “CJEU”) invalidated the E.U.-U.S. Privacy Shield Framework (the “Privacy Shield”), under which personal data could be transferred from the EEA. The CJEU also noted that standard contractual clauses (approved by the European Commission as an adequate personal data transfer mechanism) may not necessarily be relied upon in all circumstances. In addition to other mechanisms, in limited circumstances we may rely on Privacy Shield certifications of third parties (for example, vendors and partners). The European Commission and the United Kingdom’s Information Commissioner’s Office have published new standard contractual clauses that are required to be implemented.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Following issuance of a U.S. Executive Order, a new framework, the EU-U.S. Data Privacy Framework (“EU-U.S. DPF”) was created as a successor to the Privacy Shield. Following an adequacy decision issued by the European Commission on July 10, 2023, the DPF, along with a UK extension to the EU-U.S. DPF that allows the transfer of personal data from the UK to the U.S. (the “UK DPF Extension”), is available for companies as a lawful transfer mechanism for personal data transfers to the U.S. from the EEA and UK. The Swiss-U.S. Data Privacy Framework (“Swiss-U.S. DPF”) also has been established, but has not yet been granted an adequacy decision by the Swiss Federal Data Protection and Information Commissioner. We have self-certified to the EU-U.S. DPF, the UK DPF Extension, and the Swiss-U.S. DPF. The EU-U.S. DPF already has been the subject of legal challenge, however, and more generally, these frameworks may be subject to legal challenges from privacy advocacy groups or others. Additionally, the European Commission's adequacy decision regarding the DPF provides that the DPF will be subject to future reviews and may be subject to suspension, amendment, repeal, or limitations in scope by the European Commission.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Switzerland, the United Kingdom or other regions which may increase compliance costs, lead to increased regulatory scrutiny or liability, may require additional contractual negotiations, and may adversely impact our business, financial condition and operating results.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California Consumer Protection Act (“CCPA”), which went into effect on January 1, 2020, among other things, requires covered companies to provide specified disclosures to California consumers and affords such consumers the ability to opt out of certain types of data sharing and sales. The CCPA provides for civil penalties for violations, as well as a private right of action for certain data breaches. Additionally, in November 2020, California voters passed the California Privacy Rights and Enforcement Act of 2020 (the “CPRA”). As of January 1, 2023, the CPRA expanded the CCPA with additional requirements that may impact our business and establishes a regulatory agency dedicated to enforcing the law. Several states in the U.S. have proposed or enacted laws that contain obligations similar to the CCPA and CPRA that have taken effect or will take effect in coming years, creating the potential for a patchwork of overlapping but different state laws and for a trend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increasingly stringent privacy legislation in the U.S., which could increase our potential liability and adversely affect our business, financial condition, and results of operations. In addition, the Personal Information Protection Law, or PIPL, went into effect in the People’s Republic of China (the “PRC”) on November 1, 2021. The PIPL shares similarities with the GDPR, including extraterritorial application, data minimization, data localization, and purpose limitation requirements, and obligations to provide certain notices and rights to PRC citizens. The PIPL allows for fines of up to 50 million renminbi or 5% of a covered company’s revenue in the prior year. Aspects of the interpretation and enforcement of the CCPA, as amended by CPRA, and other evolving federal, state, and foreign laws and regulations relating to privacy and the collection, storing, sharing, use, disclosure, protection, and other processing of certain types of data are subject to varying enforcement and new and changing interpretations by courts, and may impose different or inconsistent obligations. These laws or regulations, particularly any new or modified laws or regulations, or changes to the interpretation or enforcement of laws or regulations, that require enhanced protection of certain data or new obligations, could greatly increase the cost of providing our platform, require significant changes to our data processing practices and other aspects of our operations, or prevent us from providing our platform in jurisdictions in which we currently operate and in which we may operate in the future. </w:t>
      </w:r>
    </w:p>
    <w:p>
      <w:pPr>
        <w:pStyle w:val="TextBody"/>
        <w:bidi w:val="0"/>
        <w:spacing w:lineRule="auto" w:line="288" w:before="120" w:after="283"/>
        <w:jc w:val="left"/>
        <w:rPr/>
      </w:pPr>
      <w:r>
        <w:rPr>
          <w:rFonts w:ascii="Arial;sans-serif" w:hAnsi="Arial;sans-serif"/>
          <w:b w:val="false"/>
          <w:color w:val="000000"/>
          <w:sz w:val="20"/>
        </w:rPr>
        <w:t>Additionally, we have incurred, and may continue to incur, significant expenses in efforts to comply with privacy, data protection, and cybersecurity standards and protocols imposed by law, regulation, industry standards, or contractual obligations. We may be subject us to investigation or enforcement actions by regulators if our statements, policies or practices relating to privacy, data protection, or cybersecurity are alleged to be deficient, lacking transparency, deceptive, unfair, or misrepresentative. We are also bound by contractual obligations related to our collection, use, disclosure, protection, and other processing of personal data and other types of data.</w:t>
      </w:r>
      <w:r>
        <w:rPr>
          <w:color w:val="000000"/>
        </w:rPr>
        <w:t xml:space="preserve"> </w:t>
      </w:r>
      <w:r>
        <w:rPr>
          <w:rFonts w:ascii="Arial;sans-serif" w:hAnsi="Arial;sans-serif"/>
          <w:b w:val="false"/>
          <w:color w:val="000000"/>
          <w:sz w:val="20"/>
        </w:rPr>
        <w:t xml:space="preserve">Our efforts to comply with such obligations may not be successful or may have other negative consequences. With laws, regulations, and other actual and asserted obligations relating to privacy, data protection, and cybersecurity imposing new and relatively burdensome obligations and with uncertainty over their interpretation and application, we may face challenges in addressing their requirements and making necessary changes to our policies and practices and may incur significant costs and expenses in efforts to do so. Despite our efforts, our interpretations of the law or our practices, policies, or platform or other services or offerings could be inconsistent with, or fail or be alleged to fail to meet all requirements of, such laws, regulations, or obligations. Any actual or perceived failure, or consequences associated with our efforts to comply with applicable laws or regulations or any other obligations relating to privacy, data protection, cybersecurity, or data processing, or any compromise of security that results in unauthorized access to, or use or release of data relating to learners, instructors, or other individuals could damage our reputation, discourage new and existing learners, instructors, and UB customers from using our platform, and could result in investigations, or other proceedings by governmental agencies, private claims and litigation, and fines, penalties, and other liabilities, any of which could adversely affect our business, financial condition and operating results. Even if not subject to legal challenge, concerns relating to privacy, data protection, or cybersecurity, whether or not valid, may harm our reputation and brand adversely affect our business, financial condition, and operating results.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 cybersecurity attack or other security breach or incident could delay or interrupt service to our learners, instructors, and UB customers, harm our reputation or subject us to significant liability.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platform involves the processing of significant amounts of data relating to learners, instructors, and UB customers interacting with our platform, including personal data and personal information. Additionally, we collect and store certain sensitive and proprietary information, and personal information, in the operation of our business, including trade secrets, intellectual property, employee data, and other confidential data.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engage third-party service providers to store and otherwise process certain data, including sensitive and personal information. Our service providers have been, and in the future may be, the targets of cyberattacks, malicious software, phishing schemes, fraud, and other risks to the confidentiality, security, and integrity of their systems and the data they process for us. Our ability to monitor our service providers’ cybersecurity is limited, and third parties may be able to circumvent those security measures, resulting in the unauthorized access to, misuse, disclosure, loss, unavailability, destruction or other processing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While we have taken measures to protect our own proprietary and confidential information, as well as the personal data and confidential information that we otherwise process, and measures to protect our platform, we, our third-party service providers, and the networks and systems used in our business, including those of third-party service providers, have been subject to, and we, our service providers and our platform may in the future may be subject to, cybersecurity attacks or other security breaches or incidents. Cybersecurity attacks may take the form of denial of service attacks, attacks using ransomware or other malware, or other attacks, and can come from individual hackers, criminal groups, and state-sponsored organizations. These sources have used artificial intelligence and machine learning to launch more automated, targeted and sophisticated attacks against targets. They can also implement social engineering techniques to induce our employees, contractors, or customers to disclose passwords or other sensitive information or take other actions to gain access to data, and we and our platform otherwise may be subject to security breaches and incidents resulting from employee or contractor error or malfeasance. We may be more susceptible to cyberattacks and other security breaches and other security incidents while many of our employees work remotely, because we have less ability to implement, monitor, and enforce our information security and data protection policies. </w:t>
      </w:r>
    </w:p>
    <w:p>
      <w:pPr>
        <w:pStyle w:val="TextBody"/>
        <w:bidi w:val="0"/>
        <w:spacing w:lineRule="auto" w:line="288" w:before="120" w:after="283"/>
        <w:jc w:val="left"/>
        <w:rPr/>
      </w:pPr>
      <w:r>
        <w:rPr>
          <w:rFonts w:ascii="Arial;sans-serif" w:hAnsi="Arial;sans-serif"/>
          <w:b w:val="false"/>
          <w:color w:val="000000"/>
          <w:sz w:val="20"/>
        </w:rPr>
        <w:t>More generally, we cannot guarantee that applicable recovery systems, security protocols, network protection mechanisms, and other procedures of ourselves or our third-party service providers are or will be adequate to prevent network and service interruption, system failure or loss, corruption, or unauthorized access to, or disclosure, acquisition, unavailability, destruction, or other processing of, data, including personal data and other sensitive information that we or they process or maintain. Moreover, our platform could be breached or disrupted if vulnerabilities in our platform are exploited by unauthorized third parties. Techniques used to obtain unauthorized access change frequently and the volumes of cybersecurity attacks and of security breaches and incidents generally are increasing.</w:t>
      </w:r>
      <w:r>
        <w:rPr>
          <w:color w:val="000000"/>
        </w:rPr>
        <w:t xml:space="preserve"> </w:t>
      </w:r>
      <w:r>
        <w:rPr>
          <w:rFonts w:ascii="Arial;sans-serif" w:hAnsi="Arial;sans-serif"/>
          <w:b w:val="false"/>
          <w:color w:val="000000"/>
          <w:sz w:val="20"/>
        </w:rPr>
        <w:t xml:space="preserve">We and our third-party service providers may be unable to implement adequate preventative measures or stop any attacks while they are occurring. A cybersecurity attack or security breach or incident could delay, disrupt or interrupt our platform and services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 We incur significant costs in an effort to detect and prevent security breaches and other security-related incidents,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Any disclosures relating to an actual or perceived cyberattack or other security breach or incident suffered by us or any of our third-party service providers could lead to negative publicity and any such disclosures, or any belief that a cybersecurity attack, or a security breach or incident, has impacted us, our platform, or our service providers may cause our learners, instructors, or UB customers to lose confidence in the security of our platform and the effectiveness of the cybersecurity measures we and our service providers utilize.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any cybersecurity attack or other security breach or other incident, could subject us to claims or damages that exceed our insurance coverage. Our insurance coverage might not be adequate for liabilities actually incurred relating to any security breach or incident,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Interruptions or performance problems associated with our technology and infrastructure could adversely affect our business and results of operations. </w:t>
      </w:r>
    </w:p>
    <w:p>
      <w:pPr>
        <w:pStyle w:val="TextBody"/>
        <w:bidi w:val="0"/>
        <w:spacing w:lineRule="auto" w:line="288" w:before="120" w:after="283"/>
        <w:jc w:val="left"/>
        <w:rPr/>
      </w:pPr>
      <w:r>
        <w:rPr>
          <w:rFonts w:ascii="Arial;sans-serif" w:hAnsi="Arial;sans-serif"/>
          <w:b w:val="false"/>
          <w:color w:val="000000"/>
          <w:sz w:val="20"/>
        </w:rPr>
        <w:t>Our continued growth partially depends on the ability of learners and instructors to access our platform at any time. Our platform has encountered, and may in the future encounter, disruptions, outages,</w:t>
      </w:r>
      <w:r>
        <w:rPr>
          <w:color w:val="000000"/>
          <w:shd w:fill="FFFFFF" w:val="clear"/>
        </w:rPr>
        <w:t xml:space="preserve"> </w:t>
      </w:r>
      <w:r>
        <w:rPr>
          <w:rFonts w:ascii="Arial;sans-serif" w:hAnsi="Arial;sans-serif"/>
          <w:b w:val="false"/>
          <w:color w:val="000000"/>
          <w:sz w:val="20"/>
          <w:shd w:fill="FFFFFF" w:val="clear"/>
        </w:rPr>
        <w:t xml:space="preserve">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Applicable regulations that permit ISPs to limit internet consumption could harm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current legislative and regulatory landscape regarding the regulation of the Internet and, in particular, Internet neutrality, in the United States is subject to uncertainty. In 2018, the Federal Communications Commission (the “FCC”) repealed its open internet rules, which prohibited internet service providers from charging content providers higher rates in order to deliver their content over certain “fast traffic” lanes. In response, California and several other U.S. states have implemented their own open internet or net neutrality rules, and in 2021, President Biden signed an Executive Order on Promoting Competition in the American Economy, which directed the FCC to reinstate through appropriate rulemaking net neutrality rules. The FCC has not yet moved to implement this executive order. We cannot predict the outcome of any litigation or whether the FCC order or state initiatives regulating providers will be modified, overturned, or vacated by legal action, federal legislation, or the degree to which this repeal would adversely affect our business, if at all. Similarly, the EU requires equal access to internet content, but as part of its Digital Single Market initiative, the EU may impose network security and disability access requirements, which could increase our costs. Outside these jurisdictions,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rely on Amazon Web Services for a substantial portion of our platform services. Any disruption of, or interference with, our use of Amazon Web Services could negatively impact our business and operations. </w:t>
      </w:r>
    </w:p>
    <w:p>
      <w:pPr>
        <w:pStyle w:val="TextBody"/>
        <w:bidi w:val="0"/>
        <w:spacing w:lineRule="auto" w:line="288" w:before="120" w:after="283"/>
        <w:jc w:val="left"/>
        <w:rPr/>
      </w:pPr>
      <w:r>
        <w:rPr>
          <w:rFonts w:ascii="Arial;sans-serif" w:hAnsi="Arial;sans-serif"/>
          <w:b w:val="false"/>
          <w:color w:val="000000"/>
          <w:sz w:val="20"/>
        </w:rPr>
        <w:t xml:space="preserve">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w:t>
      </w:r>
      <w:r>
        <w:rPr>
          <w:rFonts w:ascii="Arial;sans-serif" w:hAnsi="Arial;sans-serif"/>
          <w:b w:val="false"/>
          <w:color w:val="000000"/>
          <w:sz w:val="20"/>
          <w:shd w:fill="FFFFFF" w:val="clear"/>
        </w:rPr>
        <w:t xml:space="preserve">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 faster than the cost of using Amazon Web Services or similar providers increases.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Amazon Web Services may take actions beyond our control that could seriously harm our business, including discontinuing or limiting access to Amazon Web Services, increasing pricing terms, terminating our contract, establishing more favorable terms with one or more of our competitors, and modifying or interpreting its terms of service or other policies in a manner that impacts our ability to administer our business and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payments system depends on third-party providers and is subject to evolving laws and regulations.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our relationships with these service providers end for any reason,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 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use of our platform could be adversely affected if our mobile solutions are not effective.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new mobile devices and mobile features are released, we may encounter problems in developing or supporting apps for them. In addition, supporting new devices and mobile device operating systems may require substantial time and resources.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success of our mobile apps could also be harmed by factors outside our control, including: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actions taken by mobile app distributors, including the Apple App Store and the Google Play Store;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unfavorable treatment received by our mobile apps, especially as compared to competing apps, such as the placement of our mobile apps in a mobile app download store;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increased costs in the distribution and use our mobile app; or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mobile operating systems, such as iOS and Android, that degrade the functionality of our mobile website or mobile apps or that give preferential treatment to competitive offerings.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If our learners encounter difficulty accessing or using, or if they choose not to use, our mobile platform, our business and results of operations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Internet search engines drive traffic to our platform and, if we fail to appear prominently in search results, our growth rate could decline and our business, financial condition and results of operations could be adversely affected.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 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our intellectual property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may be unable to adequately obtain, maintain, protect, and enforce our intellectual property and proprietary information, which could adversely affect our business, financial condition, and results of operations. </w:t>
      </w:r>
    </w:p>
    <w:p>
      <w:pPr>
        <w:pStyle w:val="TextBody"/>
        <w:bidi w:val="0"/>
        <w:spacing w:lineRule="auto" w:line="288" w:before="120" w:after="283"/>
        <w:jc w:val="left"/>
        <w:rPr/>
      </w:pPr>
      <w:r>
        <w:rPr>
          <w:rFonts w:ascii="Arial;sans-serif" w:hAnsi="Arial;sans-serif"/>
          <w:b w:val="false"/>
          <w:color w:val="000000"/>
          <w:sz w:val="20"/>
        </w:rPr>
        <w:t>Our business depends on our intellectual property, the protection of which is critical to our success. We rely on a combination of intellectual property rights, including patents,</w:t>
      </w:r>
      <w:r>
        <w:rPr>
          <w:color w:val="000000"/>
        </w:rPr>
        <w:t xml:space="preserve"> </w:t>
      </w:r>
      <w:r>
        <w:rPr>
          <w:rFonts w:ascii="Arial;sans-serif" w:hAnsi="Arial;sans-serif"/>
          <w:b w:val="false"/>
          <w:color w:val="000000"/>
          <w:sz w:val="20"/>
        </w:rPr>
        <w:t xml:space="preserve">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 enforce our rights or if we do not detect or are unable to address unauthorized use of our intellectual property. Some license provisions protecting against unauthorized use, copying, transfer, and disclosure of our proprietary information may be unenforceable under the laws of certain jurisdictions. </w:t>
      </w:r>
    </w:p>
    <w:p>
      <w:pPr>
        <w:pStyle w:val="TextBody"/>
        <w:bidi w:val="0"/>
        <w:spacing w:lineRule="auto" w:line="288" w:before="120" w:after="283"/>
        <w:jc w:val="left"/>
        <w:rPr/>
      </w:pPr>
      <w:r>
        <w:rPr>
          <w:rFonts w:ascii="Arial;sans-serif" w:hAnsi="Arial;sans-serif"/>
          <w:b w:val="false"/>
          <w:color w:val="000000"/>
          <w:sz w:val="20"/>
          <w:shd w:fill="FFFFFF" w:val="clear"/>
        </w:rPr>
        <w:t>We hold various registered trademarks in the United States and in fore</w:t>
      </w:r>
      <w:r>
        <w:rPr>
          <w:rFonts w:ascii="Arial;sans-serif" w:hAnsi="Arial;sans-serif"/>
          <w:b w:val="false"/>
          <w:color w:val="000000"/>
          <w:sz w:val="20"/>
        </w:rPr>
        <w:t xml:space="preserv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 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hold a small number of issued patents and thus have a limited ability to exclude or prevent our competitors from implementing technology, methods, and processes similar to our own.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It is our policy to enter into confidentiality and invention assignment agreements with our employees and consultants and enter into confidentiality agreements with the parties with whom we have strategic relationships.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 our platform. If our competitors infringe, misappropriate, or otherwise violate our intellectual property rights and we are not able to enforce our rights,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platform, prevent or delay introductions of new or enhanced solutions,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Intellectual property litigation, including litigation related to content available on our platform, could result in significant costs and adversely affect our business, financial condition, results of operations, and reputation.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 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it difficult or impossible to qualify for such protection, increasing our exposure. While our terms and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platform contains third-party open source software components, and failure to comply with the terms of the underlying open source software licenses could restrict our ability to provide our platform.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certain open source software in a certain manner, certain proprietary software (including our own software) or other intellectual 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financial reporting, taxation, and operations as a public company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 </w:t>
      </w:r>
    </w:p>
    <w:p>
      <w:pPr>
        <w:pStyle w:val="TextBody"/>
        <w:bidi w:val="0"/>
        <w:spacing w:lineRule="auto" w:line="288" w:before="120" w:after="283"/>
        <w:jc w:val="left"/>
        <w:rPr/>
      </w:pPr>
      <w:r>
        <w:rPr>
          <w:rFonts w:ascii="Arial;sans-serif" w:hAnsi="Arial;sans-serif"/>
          <w:b w:val="false"/>
          <w:color w:val="000000"/>
          <w:sz w:val="20"/>
        </w:rPr>
        <w:t xml:space="preserve">As a public company, we are required to comply with the requirements of the </w:t>
      </w:r>
      <w:r>
        <w:rPr>
          <w:rFonts w:ascii="Arial;sans-serif" w:hAnsi="Arial;sans-serif"/>
          <w:b w:val="false"/>
          <w:color w:val="000000"/>
          <w:sz w:val="20"/>
          <w:shd w:fill="FFFFFF" w:val="clear"/>
        </w:rPr>
        <w:t>Securities Exchange Act of 1934, as amended (the “Exchange Act”), the Sarbanes-Oxley Act of 2002 (the “Sarbanes-Oxley Act”), and the rules and regulations of Nasdaq.</w:t>
      </w:r>
      <w:r>
        <w:rPr>
          <w:color w:val="000000"/>
        </w:rPr>
        <w:t xml:space="preserve"> </w:t>
      </w:r>
      <w:r>
        <w:rPr>
          <w:rFonts w:ascii="Arial;sans-serif" w:hAnsi="Arial;sans-serif"/>
          <w:b w:val="false"/>
          <w:color w:val="000000"/>
          <w:sz w:val="20"/>
        </w:rPr>
        <w:t xml:space="preserve">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t>
      </w:r>
    </w:p>
    <w:p>
      <w:pPr>
        <w:pStyle w:val="TextBody"/>
        <w:bidi w:val="0"/>
        <w:spacing w:lineRule="auto" w:line="288" w:before="120" w:after="283"/>
        <w:jc w:val="left"/>
        <w:rPr/>
      </w:pPr>
      <w:r>
        <w:rPr>
          <w:rFonts w:ascii="Arial;sans-serif" w:hAnsi="Arial;sans-serif"/>
          <w:b w:val="false"/>
          <w:color w:val="000000"/>
          <w:sz w:val="20"/>
        </w:rPr>
        <w:t xml:space="preserve">Under the Sarbanes-Oxley Act, we are required to make a formal assessment of the effectiveness of our internal control over financial reporting. The cost of our compliance with Section 404 will continue to divert resources and take significant time and effort. </w:t>
      </w:r>
      <w:r>
        <w:rPr>
          <w:rFonts w:ascii="Arial;sans-serif" w:hAnsi="Arial;sans-serif"/>
          <w:b w:val="false"/>
          <w:color w:val="000000"/>
          <w:sz w:val="20"/>
          <w:shd w:fill="FFFFFF" w:val="clear"/>
        </w:rPr>
        <w:t xml:space="preserve">In addition, if we are unable to continue to meet these requirements, we may not be able to remain listed on </w:t>
      </w:r>
      <w:r>
        <w:rPr>
          <w:rFonts w:ascii="Arial;sans-serif" w:hAnsi="Arial;sans-serif"/>
          <w:b w:val="false"/>
          <w:color w:val="000000"/>
          <w:sz w:val="20"/>
        </w:rPr>
        <w:t>Nasdaq</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shd w:fill="FFFFFF" w:val="clear"/>
        </w:rPr>
        <w:t xml:space="preserve">Our current controls and any new controls that we develop may become inadequate because of changes in conditions in our business. </w:t>
      </w:r>
      <w:r>
        <w:rPr>
          <w:rFonts w:ascii="Arial;sans-serif" w:hAnsi="Arial;sans-serif"/>
          <w:b w:val="false"/>
          <w:color w:val="000000"/>
          <w:sz w:val="20"/>
        </w:rPr>
        <w:t xml:space="preserve">Moreover, our testing, or the subsequent testing by our independent registered public accounting firm, may reveal additional deficiencies in our internal control over financial reporting that are deemed to be material weaknesses.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Operating as a public company requires us to incur substantial costs and administrative burdens, which could have an adverse effect on our business, financial condition and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public company, we are subject to additional reporting and other obligations, such as the reporting requirements of the Exchange Act, the applicable requirements of the Sarbanes-Oxley Act, and the applicable listing standards of Nasdaq. Compliance with these rules and regulations results in legal and financial compliance costs and places demands on our systems. Our recent loss of “emerging growth company” status has required additional attention from management and will result in increased costs to us, which could include higher legal fees, accounting fees and fees associated with investor relations activities, among others. As a public company, we may also be subject to stockholder activism, which can lead to additional substantial costs, distract management, and impact the manner in which we operate our business in ways we cannot currently anticipate. Our business and financial condition will become more visible as a result of our reporting obligations as a public company, which may result in threatened or actual litigation, including by competitors.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Unanticipated changes in our effective tax rate and additional tax liabilities, including as a result of our international operations or implementation of new tax rules, could harm our future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income taxes in the United States and certain foreign jurisdictions.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and the valuation of deferred tax assets and liabilities. For example, the United States enacted the Inflation Reduction Act, which imposes a 1% excise tax on certain stock repurchases and a 15% alternative minimum tax on adjusted financial statement income. The Organization for Economic Cooperation and Development proposed a 15% global minimum tax, which has been adopted by the European Union effective from January 1, 2024. Increases in our effective tax rate would reduce profitability or increase losses. In addition, we are subject to complex transfer pricing regulations administered by taxing authorities in various jurisdictions.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Further, we are subject to examination by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 Certain risks relating to employment and sales taxes are described in more detail under Note 7 (“Accrued expenses and other current liabilities”).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Additionally, one or more states, localities, or other taxing jurisdictions may seek to impose additional reporting, record-keeping, or indirect tax collection obligations on businesses like ours. Requiring tax reporting or collection could decrease learner or instructor activity, which would harm our business, and could require us to incur substantial costs in order to comply, including costs associated with tax calculation, collection, and remittance and audit requirements, which could make our offerings less attractive and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 withheld amounts, fines, and penalties. In addition, a tax authority could assert that we should be withholding employment or other taxes from payments to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ability to use our net operating loss carryforwards and certain other tax attributes may be limited. </w:t>
      </w:r>
    </w:p>
    <w:p>
      <w:pPr>
        <w:pStyle w:val="TextBody"/>
        <w:bidi w:val="0"/>
        <w:spacing w:lineRule="auto" w:line="288" w:before="120" w:after="283"/>
        <w:jc w:val="left"/>
        <w:rPr/>
      </w:pPr>
      <w:r>
        <w:rPr>
          <w:rFonts w:ascii="Arial;sans-serif" w:hAnsi="Arial;sans-serif"/>
          <w:b w:val="false"/>
          <w:color w:val="000000"/>
          <w:sz w:val="20"/>
        </w:rPr>
        <w:t>W</w:t>
      </w:r>
      <w:r>
        <w:rPr>
          <w:rFonts w:ascii="Arial;sans-serif" w:hAnsi="Arial;sans-serif"/>
          <w:b w:val="false"/>
          <w:color w:val="000000"/>
          <w:sz w:val="20"/>
          <w:shd w:fill="FFFFFF" w:val="clear"/>
        </w:rPr>
        <w:t>e have incurred net operating losses (“NOLs”) since our inception, and we expect to continue to incur net losses in the near future.</w:t>
      </w:r>
      <w:r>
        <w:rPr>
          <w:color w:val="000000"/>
        </w:rPr>
        <w:t xml:space="preserve"> </w:t>
      </w:r>
      <w:r>
        <w:rPr>
          <w:rFonts w:ascii="Arial;sans-serif" w:hAnsi="Arial;sans-serif"/>
          <w:b w:val="false"/>
          <w:color w:val="000000"/>
          <w:sz w:val="20"/>
        </w:rPr>
        <w:t xml:space="preserve">As such, there is a risk that our existing NOLs could expire unused and be unavailable to offset future income tax liabilities if we do not achieve profitability. This may require us to pay federal income taxes in future years even if our NOLs were otherwise sufficient to offset our federal taxable income in such years. There is also a risk that due to regulatory and economic changes, such as suspensions on the use of NOLs, or other unforeseen reasons, our existing NOLs could expire or otherwise be unavailable to offset future income tax liabilities. Similar or different limitations may apply under state laws. We have recorded a full valuation allowance related to our NOLs and other deferred tax assets due to the uncertainty of the realization of the future benefits of these assets. If our NOLs and other tax attributes expire before utilization or are subject to limitations, our business and financial results could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under Section 382 of the Internal Revenue Code of 1986, as amended (the “Code”),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Certain of our gross U.S. federal NOLs are subject to this limitation as a result of these ownership changes, and if it is determined that we have experienced additional ownership changes, including as a result of our Initial Public Offering (“IPO”), future transactions in our stock, some of which are outside our control, or both, our ability to use our NOLs and federal tax credit carryforwards to reduce future taxable income and tax liabilities may be further limited. Similar limitations may apply under state tax laws.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results of operations, which we report in U.S. dollars, could be adversely affected if currency exchange rates fluctuate substantially in the future. </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conduct our business across more </w:t>
      </w:r>
      <w:r>
        <w:rPr>
          <w:rFonts w:ascii="Arial;sans-serif" w:hAnsi="Arial;sans-serif"/>
          <w:b w:val="false"/>
          <w:color w:val="000000"/>
          <w:sz w:val="20"/>
        </w:rPr>
        <w:t>than 180 countries a</w:t>
      </w:r>
      <w:r>
        <w:rPr>
          <w:rFonts w:ascii="Arial;sans-serif" w:hAnsi="Arial;sans-serif"/>
          <w:b w:val="false"/>
          <w:color w:val="000000"/>
          <w:sz w:val="20"/>
          <w:shd w:fill="FFFFFF" w:val="clear"/>
        </w:rPr>
        <w:t>round the world. As we continue to expand our international operations, we will become more exposed to the effects of fluctuations in currency exchange rates. This exposure is the result of selli</w:t>
      </w:r>
      <w:r>
        <w:rPr>
          <w:rFonts w:ascii="Arial;sans-serif" w:hAnsi="Arial;sans-serif"/>
          <w:b w:val="false"/>
          <w:color w:val="000000"/>
          <w:sz w:val="20"/>
        </w:rPr>
        <w:t xml:space="preserve">ng in multiple currencies and operating in foreign countries where the functional currency is the local currency. During the fiscal year ended December 31, 2023, 29% of our sales were denominated in currencies other than U.S. dollars, including euros, Indian rupees, British pounds sterling, Brazilian reais, and Japanese yen. Our expenses, by contrast, are </w:t>
      </w:r>
      <w:r>
        <w:rPr>
          <w:rFonts w:ascii="Arial;sans-serif" w:hAnsi="Arial;sans-serif"/>
          <w:b w:val="false"/>
          <w:color w:val="000000"/>
          <w:sz w:val="20"/>
          <w:shd w:fill="FFFFFF" w:val="clear"/>
        </w:rPr>
        <w:t>primarily denominated in U.S. dollars. As a result, any increase in the value of the U.S. dollar against these foreign currencies may cause our revenue to decline relative to our costs, thereby decreasing our gross margins.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w:t>
      </w:r>
      <w:r>
        <w:rPr>
          <w:color w:val="000000"/>
        </w:rPr>
        <w:t xml:space="preserve"> </w:t>
      </w:r>
      <w:r>
        <w:rPr>
          <w:rFonts w:ascii="Arial;sans-serif" w:hAnsi="Arial;sans-serif"/>
          <w:b w:val="false"/>
          <w:color w:val="000000"/>
          <w:sz w:val="20"/>
        </w:rPr>
        <w:t>operations. We do not currently maintain a program to hedge exposures to non-U.S. dollar currencies.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We could be adversely impacted by the effects of 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Certain of our key markets, including the United States, are experiencing historically high rates of inflation, resulting from several macroeconomic and geopolitical factors, including supply chain constraints and rising oil and natural gas prices. Our operating costs have increased and may continue to increase due to rising inflation and as a result we may be required to take measures to respond to the impact of inflation. Among other things, we could be required to change our pricing model to offset inflationary pressures on our operating costs, but doing so could adversely affect customer acquisition and retention, negatively impacting our long-term growth, and could impair our competitive position if our competitors choose to absorb the cost of inflation. Alternatively, if we choose to absorb the cost of inflation to prioritize growth, our financial condition and results of operations may be negatively impacted. Moreover, our instructors may independently make pricing decisions with respect to the courses they offer on our platform as a result of inflationary pressures, and any price increase could negatively impact the attractiveness of our marketplace to learners. Inflation has also contributed to higher interest rates, which may make it more difficult for us to raise capital on acceptable terms, should we choose to pursue additional financing in the future.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any case, there can be no assurance that any measures we take to mitigate or address the impact of inflation will be effective. Even if such mitigatory measures are effective, there could be a difference between the timing of when these beneficial actions impact our results of operations and when the cost of inflation is incurred.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Any failure to successfully manage the impact of inflation on our business in a timely manner could materially and adversely affect our business, financial condition, and results of operations.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reported financial results may be adversely affected by changes in generally accepted accounting principles.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Risks related to ownership of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The trading price of our common stock may be volatile, and you could lose all or part of your investment.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market price of our common stock has, and may continue to, fluctuate substantially depending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trading price of our common stock include the following: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price and volume fluctuations in the overall stock market from time to time;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volatility in the trading prices and trading volumes of technology stocks;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operating performance and stock market valuations of other technology companies generally, or those in our industry in particular;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sales of shares of our common stock by us or our stockholders;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financial projections we may provide to the public, any changes in those projections, or our failure to meet those projections;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announcements by us or our competitors of new services or platform features;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public’s reaction to our press releases, other public announcements, and filings with the SEC;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rumors and market speculation involving us or other companies in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anticipated changes in our results of operations;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anticipated developments in our business, our competitors’ businesses, or the competitive landscape generally;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litigation involving us, our industry or both, or investigations by regulators into our operations or those of our competitors;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actual or perceived privacy or security breaches or other incidents;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announced or completed acquisitions of businesses, services, or technologies by us or our competitors;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new laws or regulations or new interpretations of existing laws or regulations applicable to our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changes in accounting standards, policies, guidelines, interpretations, or principles;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any significant change in our management;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general economic conditions and slow or negative growth of our markets;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other events or factors, </w:t>
      </w:r>
      <w:r>
        <w:rPr>
          <w:rFonts w:ascii="Arial;sans-serif" w:hAnsi="Arial;sans-serif"/>
          <w:b w:val="false"/>
          <w:color w:val="000000"/>
          <w:sz w:val="20"/>
          <w:shd w:fill="FFFFFF" w:val="clear"/>
        </w:rPr>
        <w:t>including those resulting from wars and other armed conflicts, such as Russia’s invasion of Ukraine and the conflict between Israel and Hamas in Gaza, incidents of terrorism, natural disasters, public health concerns or epidemics, such as the COVID-19 pandemic, natural disasters, or responses to these events.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Future sales of our common stock could depress the market price of our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Certain holders of our common stock are entitled to rights with respect to the registration of their shares under the Securities Act under our investors’ rights agreement. Registration of these shares under the Securities Act would result in the shares becoming freely tradable without restriction under the Securities Act, except for shares held by our affiliates as defined in Rule 144 under the Securities Act, which are subject to the limitations of Rule 144. Sales of our securities or the perception that such sales could occur pursuant to these registration rights may make it more difficult for us to issue and sell securities in the future at a time and at a price that we deem appropriate. These sales could also adversely affect the trading price of our common stock and make it more difficult for you to sell shares of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Future issuances of our common stock or rights to purchase common stock could result in additional dilution to our stockholders and cause the price of our common stock to decline.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may issue additional common stock, convertible securities, or other equity from time to time.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trading market for our common stock will depend in part on the research and reports that securities or industry analysts publish about us, our business, our market, or our competitors. The analysts’ estimates are 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any analyst who may cover us were to cease coverage of us or fail to regularly publish reports on us, we could lose visibility in the financial markets and demand for our securities could decrease, which could cause the price and trading volume of our common stock to decline.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We do not expect to pay dividends in the foreseeable future.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Consequently, stockholders must rely on sales of their shares of our common stock after price appreciation, which may never occur, as the only way to realize any future gains on their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directors, executive officers, and principal stockholders beneficially own a substantial percentage of our common stock and are able to exert significant control over matters subject to stockholder approval. </w:t>
      </w:r>
    </w:p>
    <w:p>
      <w:pPr>
        <w:pStyle w:val="TextBody"/>
        <w:bidi w:val="0"/>
        <w:spacing w:lineRule="auto" w:line="288" w:before="120" w:after="283"/>
        <w:jc w:val="left"/>
        <w:rPr/>
      </w:pPr>
      <w:r>
        <w:rPr>
          <w:rFonts w:ascii="Arial;sans-serif" w:hAnsi="Arial;sans-serif"/>
          <w:b w:val="false"/>
          <w:color w:val="000000"/>
          <w:sz w:val="20"/>
        </w:rPr>
        <w:t>As of December 31, 2023, our directors, executive officers, and holders of more than 5% of our outstanding common stock, together with their respective affiliates, beneficially owned shares representing approximately 43% of our outstanding common stock. As a result, these stockholders, if they act together, will be able to influence our</w:t>
      </w:r>
      <w:r>
        <w:rPr>
          <w:color w:val="000000"/>
          <w:shd w:fill="FFFFFF" w:val="clear"/>
        </w:rPr>
        <w:t xml:space="preserve"> </w:t>
      </w:r>
      <w:r>
        <w:rPr>
          <w:rFonts w:ascii="Arial;sans-serif" w:hAnsi="Arial;sans-serif"/>
          <w:b w:val="false"/>
          <w:color w:val="000000"/>
          <w:sz w:val="20"/>
          <w:shd w:fill="FFFFFF" w:val="clear"/>
        </w:rPr>
        <w:t xml:space="preserve">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We cannot guarantee that our stock repurchase program will be fully implemented or that they will enhance long-term stockholder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14, 2024, our board of directors authorized a share repurchase program under which we may repurchase up to $100 million of our common stock, subject to certain limitations. We plan to fund repurchases under this program with existing cash and cash equivalents. Under the program, share repurchases may be made at our discretion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program does not obligate us to repurchase any specific dollar amount or to acquire any specific number of shares of our common stock. The timing and amount of repurchases under the program will be determined by our management based on its evaluation of market conditions and other factors. Our board of directors may review the program periodically and may authorize adjustments of their terms, if appropriate. As a result, there can be no guarantee around the timing or volume of our share repurchases. The program could affect the price of our common stock, increase volatility and diminish our cash reserves. The program may be suspended or terminated at any time and, even if fully implemented, may not enhance long-term stockholder value. Refer to Part II, Item 7 of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Delaware law and provisions in our amended and restated certificate of incorporation and amended and restated bylaws might delay, discourage or prevent a merger, tender offer or proxy contest, thereby depressing the market price of our common stock.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any acquisition of our company more difficult or delay or prevent changes in control of our management. Among other things, these provisions: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our board of directors is expressly authorized to make, alter or repeal our bylaws;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the authorized number of directors may be changed only by resolution of the board of directors;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establish that our board of directors is divided into three classes, with each class serving staggered three-year terms;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prohibit cumulative voting (therefore allowing the holders of a plurality of the shares of common stock entitled to vote in any election of directors to elect all of the directors standing for election, if they should so choose);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require that any action to be taken by our stockholders must be effected at a duly called annual or special meeting of stockholders and not be taken by written consent;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require that stockholders give advance notice to nominate directors or submit proposals for consideration at stockholder meetings;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special meetings of our stockholders may be called only by the board of directors acting pursuant to a resolution adopted by the majority of the entire board of directors, the Chairperson of the board of directors, our Chief Executive Officer or our President;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provide that the federal district courts of the United States of America will be the exclusive forum for resolving any complaint asserting a cause of action arising under the Securities Act;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require a super-majority vote of stockholders to amend some of the provisions described above.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Our amended and restated bylaws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amended and restated bylaws provide that, to the fullest extent permitted by applicable law and unless we consent in writing to the selection of an alternative forum, the Court of Chancery of the State of Delaware (or, 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 </w:t>
      </w:r>
    </w:p>
    <w:p>
      <w:pPr>
        <w:pStyle w:val="TextBody"/>
        <w:bidi w:val="0"/>
        <w:spacing w:lineRule="auto" w:line="288" w:before="120" w:after="283"/>
        <w:jc w:val="left"/>
        <w:rPr/>
      </w:pPr>
      <w:r>
        <w:rPr>
          <w:rFonts w:ascii="Arial;sans-serif" w:hAnsi="Arial;sans-serif"/>
          <w:b w:val="false"/>
          <w:color w:val="000000"/>
          <w:sz w:val="20"/>
        </w:rPr>
        <w:t xml:space="preserve">Our amended and restated bylaws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against any person in connection with any offering of our securities. </w:t>
      </w:r>
      <w:r>
        <w:rPr>
          <w:rFonts w:ascii="Arial;sans-serif" w:hAnsi="Arial;sans-serif"/>
          <w:b w:val="false"/>
          <w:color w:val="000000"/>
          <w:sz w:val="20"/>
          <w:shd w:fill="FFFFFF" w:val="clear"/>
        </w:rPr>
        <w:t>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val="false"/>
          <w:color w:val="000000"/>
          <w:sz w:val="20"/>
        </w:rPr>
        <w:t xml:space="preserve">These exclusive forum provisions may discourage lawsuits against us and our current and former directors, officers, stockholders, and other employees. </w:t>
      </w:r>
      <w:r>
        <w:rPr>
          <w:rFonts w:ascii="Arial;sans-serif" w:hAnsi="Arial;sans-serif"/>
          <w:b w:val="false"/>
          <w:color w:val="000000"/>
          <w:sz w:val="20"/>
          <w:shd w:fill="FFFFFF" w:val="clear"/>
        </w:rPr>
        <w:t>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1B. Unresolved Staff Comments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1C. Cybersecurity</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Risk Management and Strategy</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We have established policies and processes for assessing, identifying, and managing risk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We conduct periodic risk assessments to identify cybersecurity threats, as well as assessments in the event of a material change in our business practices that may affect information systems that are subject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lineRule="auto" w:line="288" w:before="200" w:after="283"/>
        <w:jc w:val="left"/>
        <w:rPr/>
      </w:pPr>
      <w:r>
        <w:rPr>
          <w:rFonts w:ascii="Arial;sans-serif" w:hAnsi="Arial;sans-serif"/>
          <w:b w:val="false"/>
          <w:color w:val="000000"/>
          <w:sz w:val="20"/>
        </w:rPr>
        <w:t xml:space="preserve">Following these risk assessments, we 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Vice President of Information Technology (“VP of IT”), who reports to our Chief Financial Officer, and our Vice President, Engineering Infrastructure &amp; Security (“VP of Engineering”), who reports to our Chief Technology Officer, to manage the risk assessment and mitigation process. Our VP of IT and our VP of Engineering each have over 20 years of industry experience, including serving in similar roles overseeing cybersecurity programs at other companies. In addition, our VP of Engineering has </w:t>
      </w:r>
      <w:r>
        <w:rPr>
          <w:rFonts w:ascii="Arial;sans-serif" w:hAnsi="Arial;sans-serif"/>
          <w:b w:val="false"/>
          <w:color w:val="1D1C1D"/>
          <w:sz w:val="20"/>
        </w:rPr>
        <w:t>been a Certified Information Systems Security Professional (CISSP), a Certified Information Security Manager (CISM) and has been Certified in Risk and Information Systems Control (CRISC) for over a decade.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As part of our overall risk management system, we monitor and test our safeguards and train our employees on these safeguards, in collaboration with our Legal, Information Security, and Information Technology Departments and management. Personnel at all levels and departments are made aware of our cybersecurity policies through required trainings.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We engage outside consultants in connection with our risk assessment processes. These service providers assist us to design and implement our cybersecurity policies and procedures, as well as to monitor and test our safeguards. We require third-party service providers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lineRule="auto" w:line="268" w:before="0" w:after="0"/>
        <w:jc w:val="left"/>
        <w:rPr/>
      </w:pPr>
      <w:r>
        <w:rPr>
          <w:rFonts w:ascii="Arial;sans-serif" w:hAnsi="Arial;sans-serif"/>
          <w:b w:val="false"/>
          <w:color w:val="000000"/>
          <w:sz w:val="20"/>
        </w:rPr>
        <w:t xml:space="preserve">For additional information regarding whether any risks from cybersecurity threats are reasonably likely to materially affect our company, including our business strategy, results of operations, or financial condition, please refer to Item 1A, “Risk Factors,” including the risk factor entitled “Risks related to technology, privacy, and cybersecurity: </w:t>
      </w:r>
      <w:r>
        <w:rPr>
          <w:rFonts w:ascii="Arial;sans-serif" w:hAnsi="Arial;sans-serif"/>
          <w:b w:val="false"/>
          <w:i/>
          <w:color w:val="000000"/>
          <w:sz w:val="20"/>
        </w:rPr>
        <w:t>A cybersecurity attack or other security breach or incident could delay or interrupt service to our learners, instructors, and UB customers, harm our reputation or subject us to significant liability</w:t>
      </w:r>
      <w:r>
        <w:rPr>
          <w:color w:val="000000"/>
        </w:rPr>
        <w:t xml:space="preserve">” </w:t>
      </w:r>
      <w:r>
        <w:rPr>
          <w:rFonts w:ascii="Arial;sans-serif" w:hAnsi="Arial;sans-serif"/>
          <w:b w:val="false"/>
          <w:color w:val="000000"/>
          <w:sz w:val="20"/>
        </w:rPr>
        <w:t>in this annual report on Form 10-K.</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Governance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Our Board of Directors is responsible for overseeing our enterprise risk management activities in general, and each of our Board committees assists the Board in risk oversight. The Audit Committee directly assists the Board in its oversight of cybersecurity risk. The Audit Committee receives updates at least twice a year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management on cybersecurity risk resulting from risk assessments, progress of risk reduction initiatives, control maturity assessments, and relevant internal and industry cybersecurity incidents.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VP of IT, our VP of Engineering and our Risk Committee, consisting of our executive leadership team, are responsible for overseeing our cybersecurity risk management processes. The processes by which our VP of IT, our VP of Engineering and our Risk Committee are informed about and monitor the prevention, detection, mitigation, and remediation of cybersecurity incidents includes direct engagement with the security team by our VP of IT and VP of Engineering, as well as our incident reporting process. Under our incident reporting process, cybersecurity incidents are reported, and then reviewed by senior members of our information security, internal audit and legal department, who then evaluate and, if appropriate, escalate any incidents immediately to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2.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corporate headquarters, consisting of approximately 59,000 square feet of office space in San Francisco, California, is leased through October 2024. We also lease additional office space in locations around the world, including Denver, Colorado; Ankara, Turkey; and Dublin, Ireland. We maintain co-working or other short-term office spaces in Austin, Texas; Melbourne, Australia; Gurugram, India; and Istanbul, Turkey through co-working leases or similar arrangements. We believe that our facilities are suitable to meet our current needs. We anticipate that suitable additional or alternative space would be available at commercially reasonable terms for future expansion,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3. Legal Proceedings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California class action complaint</w:t>
      </w:r>
    </w:p>
    <w:p>
      <w:pPr>
        <w:pStyle w:val="TextBody"/>
        <w:bidi w:val="0"/>
        <w:spacing w:lineRule="auto" w:line="288" w:before="120" w:after="283"/>
        <w:jc w:val="left"/>
        <w:rPr/>
      </w:pPr>
      <w:r>
        <w:rPr>
          <w:rFonts w:ascii="Arial;sans-serif" w:hAnsi="Arial;sans-serif"/>
          <w:b w:val="false"/>
          <w:color w:val="000000"/>
          <w:sz w:val="20"/>
        </w:rPr>
        <w:t xml:space="preserve">On August 23, 2021, a putative class action complaint captioned </w:t>
      </w:r>
      <w:r>
        <w:rPr>
          <w:rFonts w:ascii="Arial;sans-serif" w:hAnsi="Arial;sans-serif"/>
          <w:b w:val="false"/>
          <w:i/>
          <w:color w:val="000000"/>
          <w:sz w:val="20"/>
        </w:rPr>
        <w:t>Williams v. Udemy, Inc.</w:t>
      </w:r>
      <w:r>
        <w:rPr>
          <w:rFonts w:ascii="Arial;sans-serif" w:hAnsi="Arial;sans-serif"/>
          <w:b w:val="false"/>
          <w:color w:val="000000"/>
          <w:sz w:val="20"/>
        </w:rPr>
        <w:t xml:space="preserve">, Case No. 3:21-CV-06489, was filed against us in the U.S. District Court for the Northern District of California alleging violations of California’s unfair competition and false advertising statutes as well as the California Consumer Legal Remedies Act in connection with our pricing practices. The complaint sought injunctive relief, unspecified damages, restitution and disgorgement of profits. On December 13, 2022, the parties entered into a definitive settlement agreement for an immaterial amount. Pursuant to the settlement agreement, the parties agreed to dismiss the pending case in federal court and refile in California state court, which filing was made on February 3, 2023. On July 28, 2023, the Superior Court of California, County of San Diego granted final approval of the settlement in Case No.37-2023-00003666-CU-BT-NC.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Video Privacy Protection Act class action complaint and threatened arbitration demands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12, 2022, a putative class action complaint captioned Mohamed Saleh v. Udemy, Inc., was filed against us, alleging violations of the Video Privacy Protection Act (the “VPPA”) and claiming that Udemy violated the VPPA by knowingly sharing personally identifiable information about the viewing history of Udemy courses with an advertiser. The complaint is currently pending in the United States District Court for the District of New Jersey, Case No. 2:23-cv-02207.</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complaint seeks declaratory relief, injunctive relief, statutory, liquidated, and punitive damages, as well as reasonable attorney fees and costs. On August 30, 2023, we filed a motion to compel arbitration. We intend to vigorously defend ourselves in this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on June 6, 2023, and July 28, 2023, we were informed that several law firms threatened to file individual arbitration demands against us on behalf of approximately 20,000 alleged Udemy learners. The firms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threaten claims similar to those in the class action complaint described above. We intend to vigorously defend ourselves in these matters.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Other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other legal proceedings and claims that arise in the ordinary course of business from time to time, as well as governmental and other regulatory investigations and proceedings. In addition, third parties may from time to time assert claims against us in the form of letters and other communications. We are not currently a party to any legal proceedings that, if determined adversely to us, would, in our opinion, have a material adverse effect on our business, financial condition, results of operations, or cash flows. Future litigation may be necessary to defend ourselves and our business partners and to determine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5. Market for Registrant’s Common Equity, Related Stockholder Matters and Issuer Purchases of Equity Securities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Market information for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common stock is traded on the Nasdaq Stock Exchange under the symbol “UDMY”. Trading of our common stock commenced on October 29, 2021 in connection with our initial public offering.</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initial public offering of our common stock was affected pursuant to a registration statement on Form S-1 (File No. 333-260042), which was declared effective by the SEC on October 28,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has been no material change in the planned use of proceeds from our IPO as described in our final prospectus dated as of October 28, 2021 and filed with the SEC pursuant to Rule 424(b)(4) on October 29, 2021.</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never paid any cash dividends on our common stock. Our board of directors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 of directors.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Stockholders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there were 44 registered stockholders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Recent sales of unregistered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Item 8, Note 12 – Stockholders' equity for information on securities authorized for issuance.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Stock performance graph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shall not be deemed “filed” for purposes of Section 18 of the Securities Exchange Act of 1934, as amended (the “Exchange Act”), or incorporated by reference into any of our other filings under the Securities Act of 1933, as amended, or the Exchange Act, except as shall be expressly set forth by specific reference in such filing.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graph below compares the cumulative total stockholder return on our common stock with the cumulative total return on the Standard &amp; Poor’s 500 Index ("S&amp;P 500 Index") and the Nasdaq Computer Index (“Nasdaq Computer Index”) since our IPO on October 29, 2021 through December 31, 2023, assuming an initial investment of $100. Data for the S&amp;P 500 Index and Nasdaq Computer Index assumes reinvestment of dividends.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drawing>
          <wp:inline distT="0" distB="0" distL="0" distR="0">
            <wp:extent cx="5838825" cy="3619500"/>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bidi w:val="0"/>
        <w:spacing w:before="0" w:after="0"/>
        <w:jc w:val="left"/>
        <w:rPr/>
      </w:pPr>
      <w:r>
        <w:rPr/>
      </w:r>
    </w:p>
    <w:tbl>
      <w:tblPr>
        <w:tblW w:w="8627" w:type="dxa"/>
        <w:jc w:val="left"/>
        <w:tblInd w:w="0" w:type="dxa"/>
        <w:tblLayout w:type="fixed"/>
        <w:tblCellMar>
          <w:top w:w="28" w:type="dxa"/>
          <w:left w:w="28" w:type="dxa"/>
          <w:bottom w:w="28" w:type="dxa"/>
          <w:right w:w="28" w:type="dxa"/>
        </w:tblCellMar>
      </w:tblPr>
      <w:tblGrid>
        <w:gridCol w:w="527"/>
        <w:gridCol w:w="462"/>
        <w:gridCol w:w="465"/>
        <w:gridCol w:w="293"/>
        <w:gridCol w:w="968"/>
        <w:gridCol w:w="163"/>
        <w:gridCol w:w="109"/>
        <w:gridCol w:w="109"/>
        <w:gridCol w:w="109"/>
        <w:gridCol w:w="324"/>
        <w:gridCol w:w="1070"/>
        <w:gridCol w:w="180"/>
        <w:gridCol w:w="109"/>
        <w:gridCol w:w="109"/>
        <w:gridCol w:w="109"/>
        <w:gridCol w:w="358"/>
        <w:gridCol w:w="1016"/>
        <w:gridCol w:w="201"/>
        <w:gridCol w:w="109"/>
        <w:gridCol w:w="109"/>
        <w:gridCol w:w="109"/>
        <w:gridCol w:w="318"/>
        <w:gridCol w:w="1051"/>
        <w:gridCol w:w="25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October 29,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Udemy</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71.05 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38.36 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53.53 </w:t>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S&amp;P 500 Index</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103.57 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Nasdaq Computer</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105.56 </w:t>
            </w:r>
          </w:p>
        </w:tc>
        <w:tc>
          <w:tcPr>
            <w:tcW w:w="1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67.79 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112.86 </w:t>
            </w:r>
          </w:p>
        </w:tc>
        <w:tc>
          <w:tcPr>
            <w:tcW w:w="2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You should read the following discussion and analysis of our financial condition and results of operations together with our consolidated financial statements and related notes included elsewhere in this Form 10-K.</w:t>
      </w:r>
      <w:r>
        <w:rPr>
          <w:color w:val="000000"/>
        </w:rPr>
        <w:t xml:space="preserve"> </w:t>
      </w:r>
      <w:r>
        <w:rPr>
          <w:rFonts w:ascii="Arial;sans-serif" w:hAnsi="Arial;sans-serif"/>
          <w:b w:val="false"/>
          <w:i/>
          <w:color w:val="000000"/>
          <w:sz w:val="20"/>
        </w:rPr>
        <w:t xml:space="preserve">In </w:t>
      </w:r>
      <w:r>
        <w:rPr>
          <w:rFonts w:ascii="Arial;sans-serif" w:hAnsi="Arial;sans-serif"/>
          <w:b w:val="false"/>
          <w:i/>
          <w:color w:val="000000"/>
          <w:sz w:val="20"/>
          <w:shd w:fill="FFFFFF" w:val="clear"/>
        </w:rPr>
        <w:t>addition to historical consolidated financial information, the following discussion contains forward-looking statements that</w:t>
      </w:r>
      <w:r>
        <w:rPr>
          <w:color w:val="000000"/>
        </w:rPr>
        <w:t xml:space="preserve"> </w:t>
      </w:r>
      <w:r>
        <w:rPr>
          <w:rFonts w:ascii="Arial;sans-serif" w:hAnsi="Arial;sans-serif"/>
          <w:b w:val="false"/>
          <w:i/>
          <w:color w:val="000000"/>
          <w:sz w:val="20"/>
        </w:rPr>
        <w:t>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analysis and elsewhere in this Form 10-K.</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A discussion regarding our financial condition and results of operations for the fiscal year ended December 31, 2023 compared to the fiscal year ended December 31, 2022 is presented below. A discussion regarding our financial condition and results of operations for the fiscal year ended December 31, 2022 compared to the fiscal year ended December 31, 2021 can be found in “Management's Discussion and Analysis of Financial Condition and Results of Operations” in our prior year Form 10-K, which was filed with the SEC on February 27,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mission is to improve lives through learning.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 Our online platform empowers organizations and individuals with flexible and effective skill acquisition and development, connecting global learners with relevant and up-to-date knowledge from experts and practitioners around the world.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Udemy’s consumer marketplace has attracted 69 million learners in over 180 countries who are looking for the knowledge and skills they need to attain in-demand jobs, further their career, and improve their well-being. We curate the highest-quality content from our marketplace for Udemy’s enterprise SaaS platform, Udemy Business, which enables companies around the world to offer effective on-demand learning for employees, immersive laboratory-style learning for tech teams, and cohort-based learning focused on leadership development. Our network of 75,000 instructors have created over 220,000 courses in 75 languages that cover a wide range of topics, including technology, business, soft skills, and personal development.</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Share repurchase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14, 2024, our Board of Directors approved a share repurchase program (the “Repurchase Program”) with authorization to purchase up to $100 million of Udemy common stock. We may repurchase shares of common stock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number of shares to be repurchased and the timing of the repurchases, if any, will depend on several factors, including, without limitation, business, economic, and market conditions, corporate, legal, and regulatory requirements, prevailing stock prices, trading volume, and other considerations. The Repurchase Program may be suspended or discontinued at any time and does not obligate us to acquire any amount of common stock. We plan to fund the Repurchase Program with existing cash and cash equivalents.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Workforce reduction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February 2023, in response to current macroeconomic conditions and to further streamline our operations and cost structure, we enacted a plan to reduce our global workforce by approximately 10%. As a result, we recognized restructuring charges of $10.3 million, primarily consisting of personnel expenses such as salaries and wages, one-time severance payments, and other benefits, as well as stock-based compensation expense. The restructuring plan was completed in the third quarter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Key factors impacting our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attract and engage new learners and Udemy Business customers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To grow our business, we must attract new learners and UB customers efficiently and increase engagement on our platform over time. We acquire a substantial portion of our learners via organic channels and also use paid marketing to further enhance the growth of our learner base. Our organic channels include those outside of our paid marketing efforts, such as a Udemy brand name internet search. Once we bring new learners onto our platform, we work to create a best-in-class experience to encourage engagement and drive learning and career outcomes.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retain and expand our existing learner and customer relationships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business and results of operations will depend on our ability to continue to drive higher usage of our platform within our existing customer base and our ability to add new customers.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efforts to grow our existing relationships with our consumer learners are focused on increasing their engagement and converting free learners into buyers. New learners to our platform typically begin to engage with our free courses, which serve as a funnel to grow our total learner base and drive referrals to our paid offerings.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efforts to grow our UB offering are focused primarily on corporate and government customers. Historically, we have expanded from individual to department to multi-department to enterprise-wide sales as our value is proven. Building upon this success, we believe a significant opportunity exists for us to acquire new UB customers and expand our existing UB customers’ use of our platform by identifying new use cases and increasing the size of existing deployments.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often enter into customized contractual arrangements with our UB customers in which we offer more favorable pricing terms in exchange for larger total contract values that accompany larger deployments. As we drive a greater portion of our revenue through our deployments with UB customers, we expect that our revenue will continue to grow significantly, but the price we charge UB customers per seat may decline, which could reduce margins in the future.</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Ability to source in-demand content from our instructors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learners and UB customers are attracted to Udemy largely because of the high quality and wide selection of content our instructors offer. Continuing to source in-demand content and credentials from our instructors will be an important factor in attracting learners and UB customers and growing our revenue over time. When we offer content as part of the UB and consumer subscription offerings, our instructors agree to contribute such content exclusively through our platform, which we believe demonstrates our ability to increase the value of our platform through unique content.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view the breadth and diverse expertise of our instructor base and the content they create as one of our competitive advantages. Our ability to expand the instructor payment pool while optimizing the revenue share structure is a key element of supporting the long-term growth of our business. Furthermore, a significant portion of the most popular content on our platform, and as a result a significant portion of our revenue, is attributable to a limited number of our instructors. We experienced minimal turnover among top instructors during the fiscal year ended December 31, 2023.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Impact of mix of Enterprise and Consumer segments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mix of business among our Enterprise and Consumer segments is shifting, and this shift will continue to affect our financial performance. Enterprise segment gross margin is higher than that of Consumer, primarily driven by comparably lower content costs which are partially offset by higher customer support costs. The mix of customer acquisition methods in our Consumer segment will substantially impact our financial performance. We presently expect that revenue from our Enterprise segment will continue to grow faster than our Consumer segment, which will be beneficial to our overall margins.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Ability to expand our international footprint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currently generate a significant portion of our revenue outside North America. We see a significant opportunity to expand our offerings into regions with large underserved adult learning populations. We have invested, and plan to continue to invest, in personnel and marketing efforts to support our international growth and expand our international operations as part of our strategy to grow our customer and learner base, particularly among our UB customers. We also plan to continue investing in strategic partnerships that either extend our marketing reach or the capabilities and reach of our global go-to-market sales team.</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Our investment in growth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actively investing in our business as we believe that we are only beginning to penetrate our market opportunity, and we intend to continue to invest in our future growth. We anticipate that our operating expenses will increase as we continue to build our sales and marketing efforts, expand our course catalog, develop our immersive learning capabilities, and invest in our technology development, including investments in generative artificial intelligence. Any investments we make in our sales and marketing organization, in encouraging the development of new content, and in expanding our platform offerings and capabilities, whether organically or through acquisitions or strategic partnerships, will occur in advance of the benefits from such investments, making it difficult to determine if we are efficiently allocating our resources in these areas.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Pace of adoption of cloud-based skill development solutions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However, it is difficult to predict customer adoption rates and demand, the future growth rate and size of the market for cloud-based skill development solutions, or the entry of competitive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recognize revenue from contracts with UB customers and paid consumer learners by delivering access to our online learning platform.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Enterprise revenue primarily relates to enterprise license subscription contracts with annual or multi-year subscription terms. Enterprise license subscriptions include Team Plan, Enterprise Plan, Udemy Business Pro, and Leadership Academy. Enterprise subscriptions are typically billed in advance on a quarterly or annual basis. Subscription revenue excludes any taxes to be remitted to governmental authorities. Access to the Udemy platform represents a series of distinct services as we continually provide access to course content and fulfill our obligation to the UB customer over the subscription term. Because the series of distinct services represents a single performance obligation that is satisfied over time, we recognize revenue ratably over the contractual subscription term. Enterprise revenue recognized from professional services was immaterial for the periods presented.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revenue consists of individual course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time. Revenue from single course purchases is recognized ratably over the estimated service period, which is four months from the date of enrollment, while revenue from consumer subscriptions is recognized ratably over the contractual subscription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the principal with respect to revenue generated from sales to UB and consumer customers as we control the performance obligation and are the primary obligor with respect to delivering our customers access to the course content.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Cost of revenue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Content costs are recorded as cost of revenue in the period earned by our instructors. Content costs as a percentage of revenue for our UB and consumer subscription offerings are lower relative to individual course content purchases in our consumer offering. As a result, shifts in the mix between offerings and changes to the revenue share structure for UB and consumer subscriptions are expected to be a significant driver of future changes in gross margin. We plan to reduce the instructor revenue share for our subscription offerings, which are derived as a percentage of total UB and consumer subscription revenues, from 25% today to 15% by 2026, with the first adjustment to 20% effective as of January 1,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consumer single course purchases, content costs are incurred at the time of purchase. As consumer course content revenue is recognized ratably over an estimated service period of four months, consumer gross margins are lower in the period of purchase, and higher in the remaining periods of the estimated service period over which revenue is recognized. For our UB and consumer subscription offerings, content costs are incurred based on monthly subscription fees, and margins are more stable from period to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Cost of revenue also includes payment and mobile processing fees, costs associated with hosting digital content, employee related expenses for our customer support organization, including salaries, benefits, stock-based compensation, facilities and other expenses, depreciation of network equipment, amortization of capitalized software, amortization of vendor relationships and developed technologies acquired through business combinations, and the portion of fees paid to certain reseller partners attributable to their providing customer support services to UB customers. We expect cost of revenue to generally decrease as a percentage of revenue as we increase the percentage of revenue derived from our UB offering and decrease the instructor revenue share percentage.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expenses consist of research and development, sales and marketing, general and administrative expenses, and restructuring charges.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Although our operating expenses may fluctuate from period to period, we currently expect our operating expenses to increase in absolute dollars over time.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Sales and marketing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sales and marketing expenses consist primarily of personnel-related costs, including stock-based compensation, as well as marketing and brand costs, costs related to customer and instructor acquisition, amortization of deferred contract costs, and amortization of tradenames and customer relationships acquired through business combinations. Sales and marketing expenses also consist of costs incurred for hosting and customer support services related to providing our platform to free learners. We expect sales and marketing expenses to increase in absolute dollars as our business grows. In addition, we expect sales and marketing expenses as a percentage of revenue to vary from period to period, depending on the timing of our marketing activities, but generally expect this percentage to decrease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research and development expenses consist primarily of personnel-related costs, including stock-based compensation, and costs related to the ongoing management, maintenance, and expansion of features and services offered on our platform. Research and development costs also include contracted services, supplies, and other miscellaneous expenses. We believe that continued investment in our platform is important to our future growth and to maintain and attract learners to our platform. As a result, we expect research and development expenses to increase in absolute dollars. In addition, we expect research and development expenses as a percentage of revenue may vary from period to period depending on the timing of investments in our platform.</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general and administrative expenses consist primarily of personnel-related costs, including stock-based compensation, costs related to our executive, legal, finance, and human resources departments, as well as charges for indirect tax reserves, allowance for credit losses, professional fees, and other corporate expenses. We expect general and administrative expenses to increase in absolute dollars as our business grows. In addition, we expect general and administrative expenses as a percentage of revenue to vary from period to period but generally decrease over the long term.</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Restructuring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restructuring charges consist primarily of personnel expenses, such as employee severance, benefits costs, and stock-based compensation, related to the reduction of our global workforce in the first quarter of 2023.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income consists primarily of interest income earned on our cash equivalents and short-term investments, including amortization of premiums and accretion of discounts related to our available-for-sale marketable securities, net of associated fees.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Interest expense consists primarily of interest expense related to certain indirect tax reserves.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expense,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expense, net consists of foreign currency transaction gains and losses, as well as changes in the valuation of strategic investments, if any.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The valuation allowance is driven by our overall loss position, and we will not be able to utilize any of these favorable tax attributes until we are in a taxable income position. When we begin to consistently operate in a taxable income position, we may release portions of the valuation allowance to recognize and use those tax attributes. Until then,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periods presented. The results below are not necessarily indicative of results to be expected for future periods. Results are as follows (in thousands):</w:t>
      </w:r>
    </w:p>
    <w:tbl>
      <w:tblPr>
        <w:tblW w:w="10205" w:type="dxa"/>
        <w:jc w:val="left"/>
        <w:tblInd w:w="0" w:type="dxa"/>
        <w:tblLayout w:type="fixed"/>
        <w:tblCellMar>
          <w:top w:w="28" w:type="dxa"/>
          <w:left w:w="28" w:type="dxa"/>
          <w:bottom w:w="28" w:type="dxa"/>
          <w:right w:w="28" w:type="dxa"/>
        </w:tblCellMar>
      </w:tblPr>
      <w:tblGrid>
        <w:gridCol w:w="2310"/>
        <w:gridCol w:w="1894"/>
        <w:gridCol w:w="1910"/>
        <w:gridCol w:w="217"/>
        <w:gridCol w:w="834"/>
        <w:gridCol w:w="109"/>
        <w:gridCol w:w="109"/>
        <w:gridCol w:w="109"/>
        <w:gridCol w:w="109"/>
        <w:gridCol w:w="217"/>
        <w:gridCol w:w="834"/>
        <w:gridCol w:w="109"/>
        <w:gridCol w:w="109"/>
        <w:gridCol w:w="109"/>
        <w:gridCol w:w="109"/>
        <w:gridCol w:w="202"/>
        <w:gridCol w:w="759"/>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(1)(2)</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279,633 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 (1)(2)</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227,023 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64,410 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541,234 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357,540 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loss per share attributable to common stockholders</w:t>
            </w:r>
          </w:p>
        </w:tc>
        <w:tc>
          <w:tcPr>
            <w:tcW w:w="116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shares used in computing net loss per share attributable to common stockholders</w:t>
            </w:r>
          </w:p>
        </w:tc>
        <w:tc>
          <w:tcPr>
            <w:tcW w:w="116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150,098,776 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140,873,504 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54,972,827 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pPr>
      <w:r>
        <w:rPr>
          <w:rFonts w:ascii="Arial;sans-serif" w:hAnsi="Arial;sans-serif"/>
          <w:b w:val="false"/>
          <w:color w:val="000000"/>
          <w:sz w:val="20"/>
        </w:rPr>
        <w:t>(1)</w:t>
      </w:r>
      <w:r>
        <w:rPr>
          <w:rFonts w:ascii="Arial;sans-serif" w:hAnsi="Arial;sans-serif"/>
          <w:b w:val="false"/>
          <w:color w:val="000000"/>
          <w:sz w:val="20"/>
        </w:rPr>
        <w:t>Includes stock-based compensation expense as follows (in thousands):</w:t>
      </w:r>
    </w:p>
    <w:tbl>
      <w:tblPr>
        <w:tblW w:w="6732" w:type="dxa"/>
        <w:jc w:val="left"/>
        <w:tblInd w:w="0" w:type="dxa"/>
        <w:tblLayout w:type="fixed"/>
        <w:tblCellMar>
          <w:top w:w="28" w:type="dxa"/>
          <w:left w:w="28" w:type="dxa"/>
          <w:bottom w:w="28" w:type="dxa"/>
          <w:right w:w="28" w:type="dxa"/>
        </w:tblCellMar>
      </w:tblPr>
      <w:tblGrid>
        <w:gridCol w:w="1151"/>
        <w:gridCol w:w="1011"/>
        <w:gridCol w:w="1018"/>
        <w:gridCol w:w="196"/>
        <w:gridCol w:w="646"/>
        <w:gridCol w:w="109"/>
        <w:gridCol w:w="109"/>
        <w:gridCol w:w="109"/>
        <w:gridCol w:w="109"/>
        <w:gridCol w:w="196"/>
        <w:gridCol w:w="646"/>
        <w:gridCol w:w="109"/>
        <w:gridCol w:w="109"/>
        <w:gridCol w:w="109"/>
        <w:gridCol w:w="109"/>
        <w:gridCol w:w="196"/>
        <w:gridCol w:w="64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18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(2)    Includes amortization of intangible assets as follows (in thousands):</w:t>
      </w:r>
    </w:p>
    <w:tbl>
      <w:tblPr>
        <w:tblW w:w="6132" w:type="dxa"/>
        <w:jc w:val="left"/>
        <w:tblInd w:w="0" w:type="dxa"/>
        <w:tblLayout w:type="fixed"/>
        <w:tblCellMar>
          <w:top w:w="28" w:type="dxa"/>
          <w:left w:w="28" w:type="dxa"/>
          <w:bottom w:w="28" w:type="dxa"/>
          <w:right w:w="28" w:type="dxa"/>
        </w:tblCellMar>
      </w:tblPr>
      <w:tblGrid>
        <w:gridCol w:w="1032"/>
        <w:gridCol w:w="905"/>
        <w:gridCol w:w="913"/>
        <w:gridCol w:w="196"/>
        <w:gridCol w:w="556"/>
        <w:gridCol w:w="109"/>
        <w:gridCol w:w="109"/>
        <w:gridCol w:w="109"/>
        <w:gridCol w:w="109"/>
        <w:gridCol w:w="196"/>
        <w:gridCol w:w="556"/>
        <w:gridCol w:w="109"/>
        <w:gridCol w:w="109"/>
        <w:gridCol w:w="109"/>
        <w:gridCol w:w="109"/>
        <w:gridCol w:w="196"/>
        <w:gridCol w:w="55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8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2,900 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2,900 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amortization of intangible assets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as a percentage of revenue for each of the periods indicated:</w:t>
      </w:r>
    </w:p>
    <w:tbl>
      <w:tblPr>
        <w:tblW w:w="6512" w:type="dxa"/>
        <w:jc w:val="left"/>
        <w:tblInd w:w="0" w:type="dxa"/>
        <w:tblLayout w:type="fixed"/>
        <w:tblCellMar>
          <w:top w:w="28" w:type="dxa"/>
          <w:left w:w="28" w:type="dxa"/>
          <w:bottom w:w="28" w:type="dxa"/>
          <w:right w:w="28" w:type="dxa"/>
        </w:tblCellMar>
      </w:tblPr>
      <w:tblGrid>
        <w:gridCol w:w="1234"/>
        <w:gridCol w:w="1080"/>
        <w:gridCol w:w="1090"/>
        <w:gridCol w:w="210"/>
        <w:gridCol w:w="211"/>
        <w:gridCol w:w="322"/>
        <w:gridCol w:w="137"/>
        <w:gridCol w:w="137"/>
        <w:gridCol w:w="137"/>
        <w:gridCol w:w="210"/>
        <w:gridCol w:w="211"/>
        <w:gridCol w:w="322"/>
        <w:gridCol w:w="137"/>
        <w:gridCol w:w="137"/>
        <w:gridCol w:w="137"/>
        <w:gridCol w:w="210"/>
        <w:gridCol w:w="211"/>
        <w:gridCol w:w="379"/>
      </w:tblGrid>
      <w:tr>
        <w:trPr/>
        <w:tc>
          <w:tcPr>
            <w:tcW w:w="123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expenses </w:t>
            </w:r>
          </w:p>
        </w:tc>
        <w:tc>
          <w:tcPr>
            <w:tcW w:w="7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7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Comparison of the fiscal year ended December 31, 2023 and 2022</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Revenue</w:t>
      </w:r>
    </w:p>
    <w:tbl>
      <w:tblPr>
        <w:tblW w:w="5745" w:type="dxa"/>
        <w:jc w:val="left"/>
        <w:tblInd w:w="0" w:type="dxa"/>
        <w:tblLayout w:type="fixed"/>
        <w:tblCellMar>
          <w:top w:w="28" w:type="dxa"/>
          <w:left w:w="28" w:type="dxa"/>
          <w:bottom w:w="28" w:type="dxa"/>
          <w:right w:w="28" w:type="dxa"/>
        </w:tblCellMar>
      </w:tblPr>
      <w:tblGrid>
        <w:gridCol w:w="406"/>
        <w:gridCol w:w="357"/>
        <w:gridCol w:w="362"/>
        <w:gridCol w:w="213"/>
        <w:gridCol w:w="802"/>
        <w:gridCol w:w="118"/>
        <w:gridCol w:w="118"/>
        <w:gridCol w:w="118"/>
        <w:gridCol w:w="118"/>
        <w:gridCol w:w="213"/>
        <w:gridCol w:w="802"/>
        <w:gridCol w:w="118"/>
        <w:gridCol w:w="109"/>
        <w:gridCol w:w="109"/>
        <w:gridCol w:w="109"/>
        <w:gridCol w:w="196"/>
        <w:gridCol w:w="736"/>
        <w:gridCol w:w="109"/>
        <w:gridCol w:w="165"/>
        <w:gridCol w:w="166"/>
        <w:gridCol w:w="301"/>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4620"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1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21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420,646 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314,038 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308,291 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315,059 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99,840 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for the fiscal year ended December 31, 2023, was $728.9 million, compared to $629.1 million for the same period in the prior year, which represents an increase of $99.8 million, or 16%. For the fiscal year ended December 31, 2023, Enterprise and Consumer revenue was $420.6 million and $308.3 million, respectively, representing 58% and 42% of total revenue, respectively, compared to $314.0 million and $315.1 million, respectively, representing 50% and 50% of total revenue, respectively, for the same period in the prior year. The increase in revenue for the fiscal year ended December 31, 2023 was primarily driven by the growth in our Enterprise segment, which was partially offset by a decrease in Consumer revenue during the same period.</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For the fiscal year ended December 31, 2023, total Enterprise revenue increased by $106.6 million, or 34%, compared to the same period in the prior year. The increase in Enterprise revenue was primarily driven by an increase in the number of UB customers, as well as net expansions in our existing UB customer base. These changes were partially offset by a negative impact from foreign currency exchange rates. </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2023, total Consumer revenue decreased by $6.8 million, or 2%, compared to the same period in the prior year. The decrease was primarily due to a decrease in revenue from single course purchases. This was partially offset by an increase in revenue from consumer subscriptions as we continue to expand the offering into new markets.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Cost of revenue, gross profit and gross margin</w:t>
      </w:r>
    </w:p>
    <w:tbl>
      <w:tblPr>
        <w:tblW w:w="5993" w:type="dxa"/>
        <w:jc w:val="left"/>
        <w:tblInd w:w="0" w:type="dxa"/>
        <w:tblLayout w:type="fixed"/>
        <w:tblCellMar>
          <w:top w:w="28" w:type="dxa"/>
          <w:left w:w="28" w:type="dxa"/>
          <w:bottom w:w="28" w:type="dxa"/>
          <w:right w:w="28" w:type="dxa"/>
        </w:tblCellMar>
      </w:tblPr>
      <w:tblGrid>
        <w:gridCol w:w="500"/>
        <w:gridCol w:w="439"/>
        <w:gridCol w:w="441"/>
        <w:gridCol w:w="196"/>
        <w:gridCol w:w="736"/>
        <w:gridCol w:w="256"/>
        <w:gridCol w:w="109"/>
        <w:gridCol w:w="109"/>
        <w:gridCol w:w="109"/>
        <w:gridCol w:w="196"/>
        <w:gridCol w:w="736"/>
        <w:gridCol w:w="256"/>
        <w:gridCol w:w="109"/>
        <w:gridCol w:w="109"/>
        <w:gridCol w:w="109"/>
        <w:gridCol w:w="196"/>
        <w:gridCol w:w="646"/>
        <w:gridCol w:w="109"/>
        <w:gridCol w:w="165"/>
        <w:gridCol w:w="166"/>
        <w:gridCol w:w="301"/>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3"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of revenue</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309,598 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275,320 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353,777 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Cost of revenue for the fiscal year ended December 31, 2023 was $309.6 million, compared to $275.3 million for the same period in the prior year, which represents an increase of $34.3 million, or 12%. Content costs for the Enterprise and Consumer segments were $95.8 million and $113.7 million for the fiscal year ended December 31, 2023, respectively, compared to $73.7 million and $118.8 million for the same period in the prior year, respectively. Content costs as a percentage of segment revenue for the Enterprise and Consumer segments were 23% and 37%, respectively, for the fiscal year ended December 31, 2023, and 23% and 38%, respectively, for the fiscal year ended December 31,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our Enterprise segment, customer support costs increased by $8.4 million in the fiscal year ended December 31, 2023, as compared to the same period in the prior year. This change is primarily driven by the growth in our customer support organization as well as our reseller business, in which we incur fees for reseller partners that provide customer support services. Additionally, hosting costs increased by $2.1 million, due to the expansion of our UB product offerings and consumption by UB learners. In our Consumer segment, customer support costs, hosting and platform fees, and payment processing fees were all consistent with those costs incurred the same period in the prior year. On a consolidated basis, there was an increase of $4.9 million in amortization of capitalized software and an increase of $1.6 million related to stock-based compensation expense for the fiscal year ended December 31, 2023, when compared to the same period in the prior year.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Gross margin was 58% for the fiscal year ended December 31, 2023, compared to 56% for the same period in the prior year. The increase in gross margin was primarily due to a shift in mix of revenue toward our Enterprise segment, which has comparatively lower content costs as a percentage of revenue than the Consumer segment.</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expenses</w:t>
      </w:r>
    </w:p>
    <w:tbl>
      <w:tblPr>
        <w:tblW w:w="6659" w:type="dxa"/>
        <w:jc w:val="left"/>
        <w:tblInd w:w="0" w:type="dxa"/>
        <w:tblLayout w:type="fixed"/>
        <w:tblCellMar>
          <w:top w:w="28" w:type="dxa"/>
          <w:left w:w="28" w:type="dxa"/>
          <w:bottom w:w="28" w:type="dxa"/>
          <w:right w:w="28" w:type="dxa"/>
        </w:tblCellMar>
      </w:tblPr>
      <w:tblGrid>
        <w:gridCol w:w="772"/>
        <w:gridCol w:w="676"/>
        <w:gridCol w:w="681"/>
        <w:gridCol w:w="213"/>
        <w:gridCol w:w="802"/>
        <w:gridCol w:w="118"/>
        <w:gridCol w:w="118"/>
        <w:gridCol w:w="118"/>
        <w:gridCol w:w="118"/>
        <w:gridCol w:w="213"/>
        <w:gridCol w:w="802"/>
        <w:gridCol w:w="118"/>
        <w:gridCol w:w="109"/>
        <w:gridCol w:w="109"/>
        <w:gridCol w:w="109"/>
        <w:gridCol w:w="196"/>
        <w:gridCol w:w="646"/>
        <w:gridCol w:w="109"/>
        <w:gridCol w:w="164"/>
        <w:gridCol w:w="167"/>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453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316,738 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301,347 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120,335 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104,556 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93,898 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99,064 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541,234 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504,967 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n/m - not meaningful</w:t>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20"/>
        </w:rPr>
        <w:t xml:space="preserve">Sales and marketing. </w:t>
      </w:r>
      <w:r>
        <w:rPr>
          <w:rFonts w:ascii="Arial;sans-serif" w:hAnsi="Arial;sans-serif"/>
          <w:b w:val="false"/>
          <w:color w:val="000000"/>
          <w:sz w:val="20"/>
        </w:rPr>
        <w:t>Sales and marketing expenses for the fiscal year ended December 31, 2023 were $316.7 million, compared to $301.3 million for the same period in the prior year. The $15.4 million increase in sales and marketing expense was primarily due to increased amortization of deferred contract costs of $15.9 million, driven by an expansion of our UB customer base over time, increased personnel-related expenses of $2.7 million, increased stock-based compensation expense of $1.8 million, a $0.8 million increase in travel and employee activities, and a $1.8 million increase in software subscriptions and allocated costs to support the growth of our business. These increases were partially offset by a decrease in marketing costs of $8.3 million.</w:t>
      </w:r>
    </w:p>
    <w:p>
      <w:pPr>
        <w:pStyle w:val="TextBody"/>
        <w:bidi w:val="0"/>
        <w:spacing w:lineRule="auto" w:line="288" w:before="120" w:after="283"/>
        <w:jc w:val="left"/>
        <w:rPr/>
      </w:pPr>
      <w:r>
        <w:rPr>
          <w:rFonts w:ascii="Arial;sans-serif" w:hAnsi="Arial;sans-serif"/>
          <w:b w:val="false"/>
          <w:i/>
          <w:color w:val="000000"/>
          <w:sz w:val="20"/>
        </w:rPr>
        <w:t xml:space="preserve">Research and development. </w:t>
      </w:r>
      <w:r>
        <w:rPr>
          <w:rFonts w:ascii="Arial;sans-serif" w:hAnsi="Arial;sans-serif"/>
          <w:b w:val="false"/>
          <w:color w:val="000000"/>
          <w:sz w:val="20"/>
        </w:rPr>
        <w:t>Research and development expenses for the fiscal year ended December 31, 2023 were $120.3 million, compared to $104.6 million for the same period in the prior year. The $15.8 million increase was primarily due to higher personnel-related expenses of $7.6 million, increased stock-based compensation expense of $5.5 million, and an additional $3.0 million of software subscriptions and allocated costs to support the growth of our business.</w:t>
      </w:r>
    </w:p>
    <w:p>
      <w:pPr>
        <w:pStyle w:val="TextBody"/>
        <w:bidi w:val="0"/>
        <w:spacing w:lineRule="auto" w:line="268" w:before="120" w:after="283"/>
        <w:jc w:val="left"/>
        <w:rPr/>
      </w:pPr>
      <w:r>
        <w:rPr>
          <w:rFonts w:ascii="Arial;sans-serif" w:hAnsi="Arial;sans-serif"/>
          <w:b w:val="false"/>
          <w:i/>
          <w:color w:val="000000"/>
          <w:sz w:val="20"/>
        </w:rPr>
        <w:t xml:space="preserve">General and administrative. </w:t>
      </w:r>
      <w:r>
        <w:rPr>
          <w:rFonts w:ascii="Arial;sans-serif" w:hAnsi="Arial;sans-serif"/>
          <w:b w:val="false"/>
          <w:color w:val="000000"/>
          <w:sz w:val="20"/>
        </w:rPr>
        <w:t>General and administrative expenses for the fiscal year ended December 31, 2023 were $93.9 million, compared to $99.1 million for the same period in the prior year. The $5.2 million decrease in general and administrative expense was primarily due to a $2.4 million decrease in personnel-related expenses, a $2.3 million decrease in costs related to business insurance, a $2.1 million decrease in professional services, a $1.4 million decrease due to fewer incremental indirect tax reserves needed in the current period, and a $1.3 million decrease in allocated expenses and employee activities. These changes were partially offset by a $4.6 million increase in stock-based compensation expense and a $0.7 million increase in our provision for expected credit losses.</w:t>
      </w:r>
    </w:p>
    <w:p>
      <w:pPr>
        <w:pStyle w:val="TextBody"/>
        <w:bidi w:val="0"/>
        <w:spacing w:lineRule="auto" w:line="264" w:before="120" w:after="283"/>
        <w:jc w:val="left"/>
        <w:rPr/>
      </w:pPr>
      <w:r>
        <w:rPr>
          <w:rFonts w:ascii="Arial;sans-serif" w:hAnsi="Arial;sans-serif"/>
          <w:b w:val="false"/>
          <w:i/>
          <w:color w:val="000000"/>
          <w:sz w:val="20"/>
        </w:rPr>
        <w:t>Restructuring charges</w:t>
      </w:r>
      <w:r>
        <w:rPr>
          <w:rFonts w:ascii="Arial;sans-serif" w:hAnsi="Arial;sans-serif"/>
          <w:b/>
          <w:i/>
          <w:color w:val="000000"/>
          <w:sz w:val="20"/>
        </w:rPr>
        <w:t xml:space="preserve">. </w:t>
      </w:r>
      <w:r>
        <w:rPr>
          <w:rFonts w:ascii="Arial;sans-serif" w:hAnsi="Arial;sans-serif"/>
          <w:b w:val="false"/>
          <w:color w:val="000000"/>
          <w:sz w:val="20"/>
        </w:rPr>
        <w:t>Restructuring charges for the fiscal year ended December 31, 2023, totaled $10.3 million. These charges consisted of $8.9 million of personnel and other expenses, such as employee severance and benefits costs, as well as $1.2 million of stock-based compensation expense. There were no restructuring activities in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Total other income (expense), net</w:t>
      </w:r>
    </w:p>
    <w:tbl>
      <w:tblPr>
        <w:tblW w:w="7199" w:type="dxa"/>
        <w:jc w:val="left"/>
        <w:tblInd w:w="0" w:type="dxa"/>
        <w:tblLayout w:type="fixed"/>
        <w:tblCellMar>
          <w:top w:w="28" w:type="dxa"/>
          <w:left w:w="28" w:type="dxa"/>
          <w:bottom w:w="28" w:type="dxa"/>
          <w:right w:w="28" w:type="dxa"/>
        </w:tblCellMar>
      </w:tblPr>
      <w:tblGrid>
        <w:gridCol w:w="932"/>
        <w:gridCol w:w="822"/>
        <w:gridCol w:w="825"/>
        <w:gridCol w:w="240"/>
        <w:gridCol w:w="793"/>
        <w:gridCol w:w="133"/>
        <w:gridCol w:w="133"/>
        <w:gridCol w:w="133"/>
        <w:gridCol w:w="133"/>
        <w:gridCol w:w="240"/>
        <w:gridCol w:w="682"/>
        <w:gridCol w:w="133"/>
        <w:gridCol w:w="109"/>
        <w:gridCol w:w="109"/>
        <w:gridCol w:w="109"/>
        <w:gridCol w:w="196"/>
        <w:gridCol w:w="646"/>
        <w:gridCol w:w="109"/>
        <w:gridCol w:w="210"/>
        <w:gridCol w:w="211"/>
        <w:gridCol w:w="301"/>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4620" w:type="dxa"/>
            <w:gridSpan w:val="18"/>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18,254 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n/m - not meaningful</w:t>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recorded net total other income of $18.3 million for the fiscal year ended December 31, 2023, compared to net total other expense of $0.4 million for the same period in the prior year. For the fiscal year ended December 31, 2023, we recognized $20.7 million in interest and accretion income on our existing cash, cash equivalents, and marketable securities portfolio. Other expense primarily consisted of an impairment charge of $1.8 million on our strategic investments. For the fiscal year ended December 31, 2022, we recognized $5.5 million in interest and accretion income on our cash, cash equivalents, and marketable securities portfolio. We also recognized $1.3 million of interest expense, primarily related to indirect tax reserves, while other expense primarily consisted of an impairment charge of $2.9 million on our strategic investments.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Income tax provision</w:t>
      </w:r>
    </w:p>
    <w:tbl>
      <w:tblPr>
        <w:tblW w:w="6153" w:type="dxa"/>
        <w:jc w:val="left"/>
        <w:tblInd w:w="0" w:type="dxa"/>
        <w:tblLayout w:type="fixed"/>
        <w:tblCellMar>
          <w:top w:w="28" w:type="dxa"/>
          <w:left w:w="28" w:type="dxa"/>
          <w:bottom w:w="28" w:type="dxa"/>
          <w:right w:w="28" w:type="dxa"/>
        </w:tblCellMar>
      </w:tblPr>
      <w:tblGrid>
        <w:gridCol w:w="592"/>
        <w:gridCol w:w="519"/>
        <w:gridCol w:w="523"/>
        <w:gridCol w:w="234"/>
        <w:gridCol w:w="753"/>
        <w:gridCol w:w="130"/>
        <w:gridCol w:w="130"/>
        <w:gridCol w:w="130"/>
        <w:gridCol w:w="130"/>
        <w:gridCol w:w="234"/>
        <w:gridCol w:w="753"/>
        <w:gridCol w:w="130"/>
        <w:gridCol w:w="109"/>
        <w:gridCol w:w="109"/>
        <w:gridCol w:w="109"/>
        <w:gridCol w:w="196"/>
        <w:gridCol w:w="631"/>
        <w:gridCol w:w="109"/>
        <w:gridCol w:w="165"/>
        <w:gridCol w:w="166"/>
        <w:gridCol w:w="30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For the fiscal year ended December 31, 2023, we recognized income tax expense of $3.7 million, compared to $2.3 million for the same period in the prior year. Income tax expense for the fiscal years ended December 31, 2023 and 2022, was primarily comprised of foreign and 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Certain key business metrics and non-GAAP financial metrics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measures presented in our consolidated financial statements, we use the key business metrics and non-GAAP financial metrics identified below to help us assess the health of our community, evaluate our business, identify trends affecting our business, formulate business plans, and make strategic decisions.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the existence of a domestic ultimate parent. This often occurs where the domestic ultimate parent is a financial owner, government entity, conglomerate,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The increase in UB customers is primarily attributable to the continued pursuit of our global land and expand strategy.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5093" w:type="dxa"/>
        <w:jc w:val="left"/>
        <w:tblInd w:w="0" w:type="dxa"/>
        <w:tblLayout w:type="fixed"/>
        <w:tblCellMar>
          <w:top w:w="28" w:type="dxa"/>
          <w:left w:w="28" w:type="dxa"/>
          <w:bottom w:w="28" w:type="dxa"/>
          <w:right w:w="28" w:type="dxa"/>
        </w:tblCellMar>
      </w:tblPr>
      <w:tblGrid>
        <w:gridCol w:w="792"/>
        <w:gridCol w:w="697"/>
        <w:gridCol w:w="700"/>
        <w:gridCol w:w="323"/>
        <w:gridCol w:w="323"/>
        <w:gridCol w:w="156"/>
        <w:gridCol w:w="109"/>
        <w:gridCol w:w="109"/>
        <w:gridCol w:w="109"/>
        <w:gridCol w:w="323"/>
        <w:gridCol w:w="323"/>
        <w:gridCol w:w="156"/>
        <w:gridCol w:w="109"/>
        <w:gridCol w:w="109"/>
        <w:gridCol w:w="109"/>
        <w:gridCol w:w="188"/>
        <w:gridCol w:w="188"/>
        <w:gridCol w:w="270"/>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customers</w:t>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10,515</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Annual Recurring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disclose our UB Annual Recurring Revenue (“ARR”) as a measure of our Enterprise revenue growth. ARR represents the annualized value of our UB customer contracts on the last day of a given period. Only revenue from closed UB contracts with active seats as of the last day of the period are included. The increase in UB ARR was primarily driven by an increase in the number of UB customers and net expansions in our existing UB customer base. </w:t>
      </w:r>
    </w:p>
    <w:p>
      <w:pPr>
        <w:pStyle w:val="TextBody"/>
        <w:bidi w:val="0"/>
        <w:spacing w:before="0" w:after="0"/>
        <w:jc w:val="left"/>
        <w:rPr/>
      </w:pPr>
      <w:r>
        <w:rPr/>
      </w:r>
    </w:p>
    <w:tbl>
      <w:tblPr>
        <w:tblW w:w="7062" w:type="dxa"/>
        <w:jc w:val="left"/>
        <w:tblInd w:w="0" w:type="dxa"/>
        <w:tblLayout w:type="fixed"/>
        <w:tblCellMar>
          <w:top w:w="28" w:type="dxa"/>
          <w:left w:w="28" w:type="dxa"/>
          <w:bottom w:w="28" w:type="dxa"/>
          <w:right w:w="28" w:type="dxa"/>
        </w:tblCellMar>
      </w:tblPr>
      <w:tblGrid>
        <w:gridCol w:w="1172"/>
        <w:gridCol w:w="1030"/>
        <w:gridCol w:w="1038"/>
        <w:gridCol w:w="196"/>
        <w:gridCol w:w="736"/>
        <w:gridCol w:w="109"/>
        <w:gridCol w:w="109"/>
        <w:gridCol w:w="109"/>
        <w:gridCol w:w="109"/>
        <w:gridCol w:w="196"/>
        <w:gridCol w:w="736"/>
        <w:gridCol w:w="109"/>
        <w:gridCol w:w="109"/>
        <w:gridCol w:w="109"/>
        <w:gridCol w:w="109"/>
        <w:gridCol w:w="196"/>
        <w:gridCol w:w="73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annual recurring revenue</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465,997 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239,257 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Udemy Business Net Dollar Retention Rate and Udemy Business Large Customer Net Dollar Retention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disclose UB Net Dollar Retention Rate, or UB NDRR, as a measure of revenue growth for all UB customers within our Enterprise segment, including UB Large Customers, which we define as companies with at least 1,000 employees. We believe UB NDRR is an important metric that provides insight into the long-term value of our UB subscription agreements and our ability to retain and grow revenue from our UB customers. We believe UB Large Customer NDRR reflects our ability to retain and expand our footprint with larger organizations, who present greater opportunities for us to retain and grow revenue given the wider range of potential use cases and land-and-expand opportunities.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calculate UB NDRR as the total ARR at the end of a trailing twelve-month period divided by the total ARR at the beginning of a trailing twelve-month period for the cohort of all UB customers active at the beginning of the trailing twelve-month period. We calculate UB Large Customer NDRR as the total UB Large Customer ARR at the end of a trailing twelve-month period divided by the total Large Customer ARR at the beginning of a trailing twelve-month period for the cohort of UB customers with at least 1,000 employees active at the beginning of the trailing twelve-month period. Total ARR and Large Customer ARR at the end of a trailing twelve-month period are calculated as ARR and Large Customer ARR, respectively, at the beginning of a trailing twelve-month period that are then adjusted for upsells, downsells, and churns for the same cohort of customers during that period. Large Customer ARR represents the annualized value of contracts for UB customers with active seats and having at least 1,000 employees on the last day of a given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UB NDRR and UB Large Customer NDRR are expected to fluctuate in future periods due to a number of factors, including the growth of our revenue base, the penetration within our learner base, expansion of products and features, and our ability to retain our UB customers. The decreases in our NDRR metrics were driven by lower rates of upsells and expansion, which were negatively impacted by longer sales cycles in light of overall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tbl>
      <w:tblPr>
        <w:tblW w:w="7034" w:type="dxa"/>
        <w:jc w:val="left"/>
        <w:tblInd w:w="0" w:type="dxa"/>
        <w:tblLayout w:type="fixed"/>
        <w:tblCellMar>
          <w:top w:w="28" w:type="dxa"/>
          <w:left w:w="28" w:type="dxa"/>
          <w:bottom w:w="28" w:type="dxa"/>
          <w:right w:w="28" w:type="dxa"/>
        </w:tblCellMar>
      </w:tblPr>
      <w:tblGrid>
        <w:gridCol w:w="1557"/>
        <w:gridCol w:w="1368"/>
        <w:gridCol w:w="1379"/>
        <w:gridCol w:w="210"/>
        <w:gridCol w:w="211"/>
        <w:gridCol w:w="256"/>
        <w:gridCol w:w="109"/>
        <w:gridCol w:w="109"/>
        <w:gridCol w:w="109"/>
        <w:gridCol w:w="210"/>
        <w:gridCol w:w="211"/>
        <w:gridCol w:w="256"/>
        <w:gridCol w:w="109"/>
        <w:gridCol w:w="109"/>
        <w:gridCol w:w="109"/>
        <w:gridCol w:w="210"/>
        <w:gridCol w:w="211"/>
        <w:gridCol w:w="301"/>
      </w:tblGrid>
      <w:tr>
        <w:trPr/>
        <w:tc>
          <w:tcPr>
            <w:tcW w:w="15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4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net dollar retention rate</w:t>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Udemy Business Large Customer net dollar retention rate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Monthly average buyers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buyer is a consumer who purchases a course or subscription through our direct-to-consumer offering. We first determine the number of monthly buyers by taking the total buyers of single courses during a given month plus the total active, paid consumer subscribers at any point in that month, adjusting for duplicate buyers that may be present in both totals. We then calculate monthly average buyers by taking an average of the monthly buyer totals over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Our monthly average buyers count is expected to fluctuate in future periods due to a number of factors, including the growth of our customer base, expansion of products and features, and our ability to retain our Consumer customers.</w:t>
      </w:r>
    </w:p>
    <w:p>
      <w:pPr>
        <w:pStyle w:val="TextBody"/>
        <w:bidi w:val="0"/>
        <w:spacing w:before="0" w:after="0"/>
        <w:jc w:val="left"/>
        <w:rPr/>
      </w:pPr>
      <w:r>
        <w:rPr/>
      </w:r>
    </w:p>
    <w:tbl>
      <w:tblPr>
        <w:tblW w:w="5185" w:type="dxa"/>
        <w:jc w:val="left"/>
        <w:tblInd w:w="0" w:type="dxa"/>
        <w:tblLayout w:type="fixed"/>
        <w:tblCellMar>
          <w:top w:w="28" w:type="dxa"/>
          <w:left w:w="28" w:type="dxa"/>
          <w:bottom w:w="28" w:type="dxa"/>
          <w:right w:w="28" w:type="dxa"/>
        </w:tblCellMar>
      </w:tblPr>
      <w:tblGrid>
        <w:gridCol w:w="684"/>
        <w:gridCol w:w="600"/>
        <w:gridCol w:w="605"/>
        <w:gridCol w:w="278"/>
        <w:gridCol w:w="278"/>
        <w:gridCol w:w="173"/>
        <w:gridCol w:w="173"/>
        <w:gridCol w:w="173"/>
        <w:gridCol w:w="173"/>
        <w:gridCol w:w="278"/>
        <w:gridCol w:w="278"/>
        <w:gridCol w:w="173"/>
        <w:gridCol w:w="173"/>
        <w:gridCol w:w="173"/>
        <w:gridCol w:w="173"/>
        <w:gridCol w:w="278"/>
        <w:gridCol w:w="278"/>
        <w:gridCol w:w="24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Monthly average buyers</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1,378 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Segment revenue and segment gross profit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revenue is generated from our UB and Consumer offerings, each of which is an individual segment of our business. Segment revenue represents the revenue recognized from each of these offerings and is a key measure of the performance of our platform, and in turn drives our financial performance. We also monitor segment gross profit as a key metric to help evaluate the financial performance of our individual segments and our business as a whole. Segment gross profit is defined as segment revenue less segment cost of revenue, which include content costs, hosting and platform costs, customer support services, and payment processing fees that are allocable to each segment. Segment gross profit excludes amortization of capitalized software, amortization of intangible assets, depreciation, and stock-based compensation allocated to cost of revenue as our chief operating decision maker does not include the information in his measurement of the performance of the operating segments. Content costs, which are payments made to our instructors, are the largest individual component of segment cost of revenue. We expect to increase the percentage of our revenue derived from our Enterprise segment over time, which we expect will improve our gross margins. </w:t>
      </w:r>
    </w:p>
    <w:tbl>
      <w:tblPr>
        <w:tblW w:w="6828" w:type="dxa"/>
        <w:jc w:val="left"/>
        <w:tblInd w:w="0" w:type="dxa"/>
        <w:tblLayout w:type="fixed"/>
        <w:tblCellMar>
          <w:top w:w="28" w:type="dxa"/>
          <w:left w:w="28" w:type="dxa"/>
          <w:bottom w:w="28" w:type="dxa"/>
          <w:right w:w="28" w:type="dxa"/>
        </w:tblCellMar>
      </w:tblPr>
      <w:tblGrid>
        <w:gridCol w:w="928"/>
        <w:gridCol w:w="816"/>
        <w:gridCol w:w="821"/>
        <w:gridCol w:w="196"/>
        <w:gridCol w:w="736"/>
        <w:gridCol w:w="256"/>
        <w:gridCol w:w="109"/>
        <w:gridCol w:w="109"/>
        <w:gridCol w:w="109"/>
        <w:gridCol w:w="196"/>
        <w:gridCol w:w="736"/>
        <w:gridCol w:w="256"/>
        <w:gridCol w:w="109"/>
        <w:gridCol w:w="109"/>
        <w:gridCol w:w="109"/>
        <w:gridCol w:w="196"/>
        <w:gridCol w:w="736"/>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 segment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420,646 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314,038 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186,954 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 segment gross profit</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283,419 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209,461 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122,970 </w:t>
            </w:r>
          </w:p>
        </w:tc>
        <w:tc>
          <w:tcPr>
            <w:tcW w:w="3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 segment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segment revenue</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308,291 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315,059 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328,703 </w:t>
            </w:r>
          </w:p>
        </w:tc>
        <w:tc>
          <w:tcPr>
            <w:tcW w:w="3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segment gross profit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163,766 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165,805 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169,361 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segment gross margin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2023, Enterprise segment gross margin was generally consistent with the same period in the prior year, as the mix of Enterprise segment costs of revenue remained a consistent percentage of Enterprise revenue when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2023 Consumer segment gross margin was generally consistent with the same period in the prior year, as the mix of Consumer segment costs of revenue remained a consistent percentage of Consumer revenue when compared to the same period in the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Non-GAAP financial metrics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 measures presented in our consolidated financial statements, we use the following non-GAAP financial metrics identified below to help us evaluate our business, formulate business plans, and make strategic decisions.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define adjusted EBITDA as net loss attributable to common stockholders, adjusted to exclude: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interest income;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interest expense;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provision for income taxes;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depreciation and amortization;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stock-based compensation expense;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expense (income), net;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restructuring charges.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define adjusted EBITDA margin as adjusted EBITDA divided by revenue for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provides a reconciliation of net loss attributable to common stockholders, the most directly comparable GAAP financial measure, to adjusted EBITDA (in thousands):</w:t>
      </w:r>
    </w:p>
    <w:tbl>
      <w:tblPr>
        <w:tblW w:w="7362" w:type="dxa"/>
        <w:jc w:val="left"/>
        <w:tblInd w:w="0" w:type="dxa"/>
        <w:tblLayout w:type="fixed"/>
        <w:tblCellMar>
          <w:top w:w="28" w:type="dxa"/>
          <w:left w:w="28" w:type="dxa"/>
          <w:bottom w:w="28" w:type="dxa"/>
          <w:right w:w="28" w:type="dxa"/>
        </w:tblCellMar>
      </w:tblPr>
      <w:tblGrid>
        <w:gridCol w:w="1233"/>
        <w:gridCol w:w="1083"/>
        <w:gridCol w:w="1089"/>
        <w:gridCol w:w="196"/>
        <w:gridCol w:w="811"/>
        <w:gridCol w:w="109"/>
        <w:gridCol w:w="109"/>
        <w:gridCol w:w="109"/>
        <w:gridCol w:w="109"/>
        <w:gridCol w:w="196"/>
        <w:gridCol w:w="811"/>
        <w:gridCol w:w="109"/>
        <w:gridCol w:w="109"/>
        <w:gridCol w:w="109"/>
        <w:gridCol w:w="109"/>
        <w:gridCol w:w="196"/>
        <w:gridCol w:w="721"/>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 exclude the following: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provides a reconciliation of net loss margin, the most directly comparable GAAP financial measure, to adjusted EBITDA margin (in thousands, except percentages):</w:t>
      </w:r>
    </w:p>
    <w:tbl>
      <w:tblPr>
        <w:tblW w:w="7817" w:type="dxa"/>
        <w:jc w:val="left"/>
        <w:tblInd w:w="0" w:type="dxa"/>
        <w:tblLayout w:type="fixed"/>
        <w:tblCellMar>
          <w:top w:w="28" w:type="dxa"/>
          <w:left w:w="28" w:type="dxa"/>
          <w:bottom w:w="28" w:type="dxa"/>
          <w:right w:w="28" w:type="dxa"/>
        </w:tblCellMar>
      </w:tblPr>
      <w:tblGrid>
        <w:gridCol w:w="1233"/>
        <w:gridCol w:w="1079"/>
        <w:gridCol w:w="1092"/>
        <w:gridCol w:w="196"/>
        <w:gridCol w:w="811"/>
        <w:gridCol w:w="256"/>
        <w:gridCol w:w="109"/>
        <w:gridCol w:w="109"/>
        <w:gridCol w:w="109"/>
        <w:gridCol w:w="196"/>
        <w:gridCol w:w="811"/>
        <w:gridCol w:w="256"/>
        <w:gridCol w:w="109"/>
        <w:gridCol w:w="109"/>
        <w:gridCol w:w="109"/>
        <w:gridCol w:w="196"/>
        <w:gridCol w:w="736"/>
        <w:gridCol w:w="301"/>
      </w:tblGrid>
      <w:tr>
        <w:trPr/>
        <w:tc>
          <w:tcPr>
            <w:tcW w:w="123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40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2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2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301"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margin</w:t>
            </w:r>
          </w:p>
        </w:tc>
        <w:tc>
          <w:tcPr>
            <w:tcW w:w="100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5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0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7,794 </w:t>
            </w:r>
          </w:p>
        </w:tc>
        <w:tc>
          <w:tcPr>
            <w:tcW w:w="2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(48,681)</w:t>
            </w:r>
          </w:p>
        </w:tc>
        <w:tc>
          <w:tcPr>
            <w:tcW w:w="2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(27,930)</w:t>
            </w:r>
          </w:p>
        </w:tc>
        <w:tc>
          <w:tcPr>
            <w:tcW w:w="30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Net loss attributable to common stockholders decreased by $46.6 million in the fiscal year ended December 31, 2023, compared to the same period in the prior year. The change was primarily driven by the growth in revenue outpacing the growth in operating expenses and interest income earned on our investments. Adjusted EBITDA improved by $56.5 million in the fiscal year ended December 31, 2023, compared to the same period in the prior year. The improvement in adjusted EBITDA was driven by the growth in revenue outpacing the growth in operating expenses, excluding stock-based compensation expense and restructuring charges.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As of December 31, 2023, our principal sources of liquidity were cash, cash equivalents and restricted cash of $309.6 million and marketable securities of $171.4 million. Cash and cash equivalents includes money market funds, certain U.S. government securities purchased with original maturities of less than 90 days, on demand deposits, and amounts in transit from certain payment processors for credit and debit card transactions. Restricted cash totaled $4.0 million and consists of cash deposited with financial institutions held as collateral for our obligations under various facility leases. Marketable securities are comprised of investments in U.S. government securities with an original maturity greater than 90 days at the date of purchase. Our non-U.S. cash and cash equivalents have been earmarked for indefinite investment in our operations outside the U.S., and consequently no U.S. current or deferred taxes have been accrued on such amounts. We believe that our existing cash and cash equivalents and our expected cash flows from operations will be sufficient to meet our cash needs for at least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Over the long term, we plan to continue investing in the growth and development of our platform. If our available funds are insufficient to fund these future activities or execute on our business strategies, we may raise additional capital through equity, equity-linked or debt financing, to the extent such funding sources are available. Alternatively, we may be required to reduce expenses to manage liquidity; however, any such reductions could adversely impact our business and competitive position.</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Sources of funds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historically financed our operations primarily through revenue, as well as proceeds from issuances of our capital stock. In October 2021, we received net proceeds of $397.4 million, after deducting underwriting discounts and commissions of $23.1 million, from our IPO. In November 2021, the underwriters exercised their option to purchase additional shares of our common stock, resulting in net proceeds of $17.8 million after deducting underwriting discounts and commissions of $1.0 million.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From time to time, we may explore additional financing sources, which could include equity, equity-linked or debt financing. In addition, in connection with any future acquisitions or strategic investments, we may pursue additional funding, which could include debt, equity or equity-linked financings, or a combination of these methods. We can provide no assurance that any additional financing will be available to us on acceptable terms.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Use of funds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principal uses of cash are funding our operations, capital expenditures and working capital requirements. We have generated significant net losses from our operations as reflected in our accumulated deficit of $719.7 million as of December 31, 2023. We have generally incurred operating losses and generated negative cash flows from operations as we have invested in growing our business. Our operating cash requirements may increase in the future as we continue to invest in the development of our platform and the growth of our business. We cannot be certain our revenue will grow sufficiently to offset our operating expense increases. As a result, we may need to raise additional funds to support our operations, and such funding may not be available to us on acceptable terms, if at all.</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 (in thousands):</w:t>
      </w:r>
    </w:p>
    <w:tbl>
      <w:tblPr>
        <w:tblW w:w="9041" w:type="dxa"/>
        <w:jc w:val="left"/>
        <w:tblInd w:w="0" w:type="dxa"/>
        <w:tblLayout w:type="fixed"/>
        <w:tblCellMar>
          <w:top w:w="28" w:type="dxa"/>
          <w:left w:w="28" w:type="dxa"/>
          <w:bottom w:w="28" w:type="dxa"/>
          <w:right w:w="28" w:type="dxa"/>
        </w:tblCellMar>
      </w:tblPr>
      <w:tblGrid>
        <w:gridCol w:w="1902"/>
        <w:gridCol w:w="1669"/>
        <w:gridCol w:w="1678"/>
        <w:gridCol w:w="196"/>
        <w:gridCol w:w="631"/>
        <w:gridCol w:w="109"/>
        <w:gridCol w:w="109"/>
        <w:gridCol w:w="109"/>
        <w:gridCol w:w="109"/>
        <w:gridCol w:w="196"/>
        <w:gridCol w:w="811"/>
        <w:gridCol w:w="109"/>
        <w:gridCol w:w="109"/>
        <w:gridCol w:w="109"/>
        <w:gridCol w:w="109"/>
        <w:gridCol w:w="196"/>
        <w:gridCol w:w="736"/>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2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w:t>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(52,693)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rates on cash flows</w:t>
            </w:r>
          </w:p>
        </w:tc>
        <w:tc>
          <w:tcPr>
            <w:tcW w:w="82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(219,454)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358,837 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Cash used in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main source of operating cash is payments received from our customers. Our primary use of cash from operating activities are for personnel-related expenses, instructor payments, advertising expenses, indirect taxes, and third-party cloud infrastructure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For the fiscal year ended December 31, 2023, cash used in operating activities was $2.0 million, primarily consisting of our net loss of $107.3 million, adjusted for non-cash charges of $171.8 million and net cash outflows of $66.5 million provided by changes in our operating assets and liabilities. The main drivers of the changes in operating assets and liabilities were a $10.3 million decrease in accounts receivable, as cash collections from customers outpaced new billings, and a $4.1 million increase in deferred revenue. These changes were offset by a $56.9 million increase in deferred contract costs, due to continued expansion in our Enterprise business, a $14.4 million decrease in accounts payable, accrued expenses and other current liabilities, and a $6.8 million decrease in operating lease liabilities.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2022, cash used in operating activities was $61.0 million, primarily consisting of our net loss of $153.9 million, adjusted for non-cash charges of $144.6 million and net cash outflows of $51.7 million provided by changes in our operating assets and liabilities. The main drivers of the changes in operating assets and liabilities were a $67.7 million increase in deferred revenue, resulting primarily from our Enterprise business growth, offset by a $32.3 million increase in accounts receivable $28.6 million decrease in accounts payable, accrued expenses and other current liabilities, which includes a $13.7 million one-time payment to settle our instructor withholding tax reserve, and a $53.4 million increase in deferred contract costs.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Net cash used in operating activities decreased by $59.0 million for the fiscal year ended December 31, 2023, compared to fiscal year ended December 31, 2022, primarily due to an increase in cash collections, as well as growth in revenue outpacing growth in operating expenses.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For the fiscal year ended December 31, 2023, net cash used in investing activities was $25.0 million, primarily as a result of $307.7 million in purchases of marketable securities and $12.4 million related to capitalized internal-use software costs, which was partially offset by $295.8 million of proceeds received from the maturity of marketable securities.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2022, net cash used in investing activities was $173.2 million, primarily as a result of our $158.5 million purchase of marketable securities, $5.0 million purchase of strategic investments, and $14.2 million related to capitalized internal-use software costs. These changes were partially offset by $7.5 million of proceeds received from the maturity of marketable securities.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2023, net cash provided by financing activities was $19.2 million, driven by proceeds from issuance of common stock via stock option exercises of $17.9 million and issuances of common stock under our employee stock purchase plan of $8.0 million, which was offset by $6.8 million in taxes paid related to net share settlement of employee equity awards. During the fiscal year ended December 31, 2023, we began funding withholding taxes due upon the vesting of employee equity awards in certain jurisdictions by net share settlement, rather than our previous approach of selling shares of our common stock to cover taxes upon vesting of such awards.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 the fiscal year ended December 31, 2022, net cash provided by financing activities was $14.8 million, primarily driven by proceeds from issuance of common stock via stock option exercises of $7.1 million and issuances of common stock under our employee stock purchase plan of $9.2 million, which were partially offset by a $1.6 million payment of deferred offering costs associated with our IPO.</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Contractual obligations and commitments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estimated future obligations as of December 31, 2023, include both current and long term obligations. Under our operating leases, as noted in the consolidated financial statements included in Part II, Item 8, "Financial Statements and Supplementary Data", Note 6 – Leases, we have a current obligation of $5.8 million and a long-term obligation of $1.1 million.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had $63.0 million of other purchase obligations as of December 31, 2023, with $34.3 million in short-term obligations and $28.7 million in long-term obligations. Our obligations primarily consisted of commitments related to third-party cloud infrastructure agreements, network service providers, and paid advertising and sponsorship vendors. Refer to Note 8 – Commitments and contingencies, to the consolidated financials included in Part II, Item 8, "Financial Statements and Supplementary Data",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accounting policies requiring estimates, assumptions, and judgments that we believe have the most significant impact on our consolidated financial statements are described below. See Note 2 to our consolidated financial statements for a description of our other significant accounting policies.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recognize revenue using the five steps outlined in Accounting Standards Codification (“ASC”) 606. We derive revenue from contracts with consumer and UB customers for access to our online learning platform and related services. We offer a single, combined performance obligation, which is the customer’s access to the online content on the Udemy platform, representing a series of distinct services as we continually fulfill our stand-ready obligation to provide the customer access to the online licensed content with the functionality of the Udemy platform. As such, we recognize revenue on a straight-line basis using an estimated service period for consumer single course purchases and the contractual subscription term for UB and consumer subscription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the following are the significant estimates and judgments impacting our revenue recognition, and any changes to these estimates and judgments could impact the timing and amount of revenue recognized.</w:t>
      </w:r>
    </w:p>
    <w:p>
      <w:pPr>
        <w:pStyle w:val="TextBody"/>
        <w:bidi w:val="0"/>
        <w:spacing w:lineRule="auto" w:line="288" w:before="120" w:after="283"/>
        <w:jc w:val="left"/>
        <w:rPr/>
      </w:pPr>
      <w:r>
        <w:rPr>
          <w:rFonts w:ascii="Arial;sans-serif" w:hAnsi="Arial;sans-serif"/>
          <w:b w:val="false"/>
          <w:i/>
          <w:color w:val="000000"/>
          <w:sz w:val="20"/>
        </w:rPr>
        <w:t>Estimated service period for consumer single course purchases</w:t>
      </w:r>
      <w:r>
        <w:rPr>
          <w:color w:val="000000"/>
        </w:rPr>
        <w:t xml:space="preserve">— </w:t>
      </w:r>
      <w:r>
        <w:rPr>
          <w:rFonts w:ascii="Arial;sans-serif" w:hAnsi="Arial;sans-serif"/>
          <w:b w:val="false"/>
          <w:color w:val="000000"/>
          <w:sz w:val="20"/>
        </w:rPr>
        <w:t>Consumers who purchase an individual course receive a non-exclusive lifetime license to the digital course content in addition to stand-ready access to the Udemy platform hosting services needed to access the content. Because consumers who purchase an individual course receive lifetime access to their purchased content, we believe an estimated service period best represents the time period during which learners access the online course content on the platform. Determining the estimated service period requires us to make certain judgments about the expected period over which a consumer benefits from their purchase. We consider quantitative and qualitative data in determining our estimate, including, but not limited to, the average time period between a learner’s purchase date and the last date the learner accesses the purchased content, the average total hours consumed for a given purchase, the time period over which learner activity stabilizes, known online trends, and, to the extent publicly available, service periods for competitors with similar online content. The estimated service period for single course purchases is four months from the date of enrollment.</w:t>
      </w:r>
    </w:p>
    <w:p>
      <w:pPr>
        <w:pStyle w:val="TextBody"/>
        <w:bidi w:val="0"/>
        <w:spacing w:lineRule="auto" w:line="288" w:before="120" w:after="283"/>
        <w:jc w:val="left"/>
        <w:rPr/>
      </w:pPr>
      <w:r>
        <w:rPr>
          <w:rFonts w:ascii="Arial;sans-serif" w:hAnsi="Arial;sans-serif"/>
          <w:b w:val="false"/>
          <w:i/>
          <w:color w:val="000000"/>
          <w:sz w:val="20"/>
        </w:rPr>
        <w:t>Principal versus agent</w:t>
      </w:r>
      <w:r>
        <w:rPr>
          <w:color w:val="000000"/>
        </w:rPr>
        <w:t xml:space="preserve">— </w:t>
      </w:r>
      <w:r>
        <w:rPr>
          <w:rFonts w:ascii="Arial;sans-serif" w:hAnsi="Arial;sans-serif"/>
          <w:b w:val="false"/>
          <w:color w:val="000000"/>
          <w:sz w:val="20"/>
        </w:rPr>
        <w:t>In order to determine whether revenue should be reported as gross or net of either payments to third-party instructors or amounts retained by reseller partners who sell access to Enterprise subscription offerings, we evaluated whether we are the principal for sales of our consumer and UB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Determining whether we are the principal involves making key judgments about whether Udemy controls the contracted services before being transferred to the end customer. We have determined that we are the principal to customers who purchase access to online individual course content or through our subscription offerings, as we control the promised goods or services (i.e., access to course content via the Udemy platform) before it is transferred to the customer and are primarily responsible for fulfillment with respect to delivering access to course content. We also have substantial discretion to determine the pricing of our offerings. We therefore report revenue related to these arrangements based on the gross purchase price paid by customers.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account for stock-based compensation from stock-based awards using the estimated fair value of the awards on the date of grant. Stock-based awards that may be granted to employees, directors, and non-employees include restricted stock units (“RSUs”), performance-based restricted stock units (“PSUs”), stock options, stock appreciation rights (“SARs”), restricted stock, and stock purchase rights granted to employees under the Employee Stock Purchase Plan (“ESPP Rights”). No stock options or SARs have been granted since the Company’s initial public offering in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estimate the fair value of RSUs and PSUs based on our common stock price on the date of grant or modification. We estimate the fair value of stock options, SARs, and ESPP Rights using the Black-Scholes option-pricing model, which requires the use of the following subjective and complex assumptions:</w:t>
      </w:r>
    </w:p>
    <w:p>
      <w:pPr>
        <w:pStyle w:val="TextBody"/>
        <w:bidi w:val="0"/>
        <w:spacing w:lineRule="auto" w:line="288" w:before="120" w:after="283"/>
        <w:jc w:val="left"/>
        <w:rPr/>
      </w:pPr>
      <w:r>
        <w:rPr>
          <w:rFonts w:ascii="Arial;sans-serif" w:hAnsi="Arial;sans-serif"/>
          <w:b w:val="false"/>
          <w:i/>
          <w:color w:val="000000"/>
          <w:sz w:val="20"/>
        </w:rPr>
        <w:t>Expected Term</w:t>
      </w:r>
      <w:r>
        <w:rPr>
          <w:color w:val="000000"/>
        </w:rPr>
        <w:t xml:space="preserve">— </w:t>
      </w:r>
      <w:r>
        <w:rPr>
          <w:rFonts w:ascii="Arial;sans-serif" w:hAnsi="Arial;sans-serif"/>
          <w:b w:val="false"/>
          <w:color w:val="000000"/>
          <w:sz w:val="20"/>
        </w:rPr>
        <w:t>For stock options and SARs, we use the midpoint of the vesting term and contractual expiration period to compute the expected term, as we do not have sufficient historical information to develop reasonable expectations about future exercise patterns and post-vesting employment termination behavior. For ESPP Rights, the expected term is equal to the purchase periods in a given offering period.</w:t>
      </w:r>
    </w:p>
    <w:p>
      <w:pPr>
        <w:pStyle w:val="TextBody"/>
        <w:bidi w:val="0"/>
        <w:spacing w:lineRule="auto" w:line="288" w:before="120" w:after="283"/>
        <w:jc w:val="left"/>
        <w:rPr/>
      </w:pPr>
      <w:r>
        <w:rPr>
          <w:rFonts w:ascii="Arial;sans-serif" w:hAnsi="Arial;sans-serif"/>
          <w:b w:val="false"/>
          <w:i/>
          <w:color w:val="000000"/>
          <w:sz w:val="20"/>
        </w:rPr>
        <w:t>Risk-Free Interest Rate</w:t>
      </w:r>
      <w:r>
        <w:rPr>
          <w:color w:val="000000"/>
        </w:rPr>
        <w:t xml:space="preserve">— </w:t>
      </w:r>
      <w:r>
        <w:rPr>
          <w:rFonts w:ascii="Arial;sans-serif" w:hAnsi="Arial;sans-serif"/>
          <w:b w:val="false"/>
          <w:color w:val="000000"/>
          <w:sz w:val="20"/>
        </w:rPr>
        <w:t>The risk-free interest rate is based on the U.S. Treasury yield curve in effect at the time of grant for zero-coupon U.S. Treasury notes with maturities approximately equal to the award’s expected term.</w:t>
      </w:r>
    </w:p>
    <w:p>
      <w:pPr>
        <w:pStyle w:val="TextBody"/>
        <w:bidi w:val="0"/>
        <w:spacing w:lineRule="auto" w:line="288" w:before="120" w:after="283"/>
        <w:jc w:val="left"/>
        <w:rPr/>
      </w:pPr>
      <w:r>
        <w:rPr>
          <w:rFonts w:ascii="Arial;sans-serif" w:hAnsi="Arial;sans-serif"/>
          <w:b w:val="false"/>
          <w:i/>
          <w:color w:val="000000"/>
          <w:sz w:val="20"/>
        </w:rPr>
        <w:t>Expected Volatility</w:t>
      </w:r>
      <w:r>
        <w:rPr>
          <w:color w:val="000000"/>
        </w:rPr>
        <w:t xml:space="preserve">— </w:t>
      </w:r>
      <w:r>
        <w:rPr>
          <w:rFonts w:ascii="Arial;sans-serif" w:hAnsi="Arial;sans-serif"/>
          <w:b w:val="false"/>
          <w:color w:val="000000"/>
          <w:sz w:val="20"/>
        </w:rPr>
        <w:t>We estimate future expected volatility by considering both the average volatility of a peer group of representative public companies with sufficient trading history and, to the extent available, our historical volatility over the expected term.</w:t>
      </w:r>
    </w:p>
    <w:p>
      <w:pPr>
        <w:pStyle w:val="TextBody"/>
        <w:bidi w:val="0"/>
        <w:spacing w:lineRule="auto" w:line="288" w:before="120" w:after="283"/>
        <w:jc w:val="left"/>
        <w:rPr/>
      </w:pPr>
      <w:r>
        <w:rPr>
          <w:rFonts w:ascii="Arial;sans-serif" w:hAnsi="Arial;sans-serif"/>
          <w:b w:val="false"/>
          <w:i/>
          <w:color w:val="000000"/>
          <w:sz w:val="20"/>
        </w:rPr>
        <w:t>Dividend Yield</w:t>
      </w:r>
      <w:r>
        <w:rPr>
          <w:color w:val="000000"/>
        </w:rPr>
        <w:t xml:space="preserve">— </w:t>
      </w:r>
      <w:r>
        <w:rPr>
          <w:rFonts w:ascii="Arial;sans-serif" w:hAnsi="Arial;sans-serif"/>
          <w:b w:val="false"/>
          <w:color w:val="000000"/>
          <w:sz w:val="20"/>
        </w:rPr>
        <w:t>The expected dividend was assumed to be zero as we have never paid dividends and have no current plans to do so.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will continue to use judgment in evaluating the assumptions related to our stock-based compensation on a prospective basis. Future grants or modifications of stock-based awards that require the use of complex valuation models may cause us to alter or refine the estimates and assumptions described above, which could impact future stock-based compensation expense.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taxes in the United States and numerous foreign jurisdictions. Significant judgment is required in determining our income tax expense and deferred tax assets and liabilities, including evaluating uncertainties in the application of accounting principles and complex tax laws.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utilize the asset and liability method under which deferred tax assets and liabilities arise from the temporary differences between the tax basis of an asset or liability and our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Accounting for business combinations requires us to make significant estimates and assumptions, especially at the acquisition date with respect to tangible and intangible assets acquired and liabilities assumed. We use our best estimates and assumptions to assign fair value to the tangible and intangible assets acquired and liabilities assumed at the acquisition date. Significant estimates we’ve made in valuing certain acquired intangible assets include, but are not limited to, future expected cash flows from acquired customer bases, acquired technology and acquired trade names, useful lives, royalty rates, and discount rates. The estimates are inherently uncertain and subject to revision as additional information is obtained during the measurement period for an acquisition, which may last up to one year from the acquisition date. Unanticipated events and circumstances in future periods may affect the accuracy or validity of such assumptions, estimates or actual results.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Goodwill and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evaluate and test the recoverability of goodwill for impairment annually, during the fourth quarter, or more often if and when circumstances indicate that goodwill may not be recoverable. We also evaluate the estimated remaining useful life of intangible assets and whether events or changes in circumstances warrant a revision to the remaining period of amortization. In order to identify potential impairment, we consider a variety of judgmental qualitative factors, which may include financial performance; legal, regulatory, contractual, political, or business factors; entity specific events; industry and market considerations; and macroeconomic conditions. To the extent we determine that it is more likely than not that the fair value of the reporting unit is less than its carrying value, a quantitative test would be performed.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See Note 2 to our consolidated financial statements included in Part II, Item 8 of this Annual Report on Form 10-K for information regarding recently issued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7A. Quantitative and Qualitative Disclosures About Market Risk</w:t>
      </w:r>
    </w:p>
    <w:p>
      <w:pPr>
        <w:pStyle w:val="TextBody"/>
        <w:bidi w:val="0"/>
        <w:spacing w:lineRule="auto" w:line="288" w:before="120" w:after="283"/>
        <w:jc w:val="left"/>
        <w:rPr/>
      </w:pPr>
      <w:r>
        <w:rPr>
          <w:rFonts w:ascii="Arial;sans-serif" w:hAnsi="Arial;sans-serif"/>
          <w:b/>
          <w:i/>
          <w:color w:val="000000"/>
          <w:sz w:val="20"/>
        </w:rPr>
        <w:t>Interest rate sensitivity</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we had $305.6 million of cash and cash equivalents, which includes money market funds, certain U.S. government securities purchased with original maturities of less than 90 days, on demand deposits, and amounts in transit from certain payment processors for credit and debit card transactions. We also held $171.4 million of marketable securities, consisting of investments in various U.S. government securities. In addition, we had $4.0 million of restricted cash, primarily due to the outstanding letter of credit related to the operating lease agreement for our corporate headquarters. We did not hold any long-term debt during the fiscal years ended December 31, 2023, 2022, or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cash and cash equivalents are held for working capital purposes. Given the above facts and circumstances, hypothetical changes in interest rates of 100 basis points would not result in a material increase or decrease of either the market value of our portfolio of cash equivalents and marketable securities as of December 31, 2023, or interest income earned from our portfolio during the fiscal year ended December 31, 2023.</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reporting currency is the U.S. dollar. We determine the functional currency for each of our foreign subsidiaries by reviewing their operations and currencies used in their primary economic environments. Fluctuations in foreign currency exchange rates may cause us to recognize transaction gains and losses in our consolidated statement of operations, or translation gains and losses in accumulated other comprehensive income (loss) as a component of stockholders’ equity. Our marketable securities portfolio is also held in U.S. dollar investments, and to date, we have not entered into any hedging arrangements with respect to foreign currency risk or other derivative financial instruments, although we may choose to do so in the future. As such, a hypothetical 10% increase or decrease in current exchange rates would not have had a material impact on income or expense for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financial statements are filed as part of this Annual Report on Form 10-K:</w:t>
      </w:r>
    </w:p>
    <w:tbl>
      <w:tblPr>
        <w:tblW w:w="9706" w:type="dxa"/>
        <w:jc w:val="left"/>
        <w:tblInd w:w="0" w:type="dxa"/>
        <w:tblLayout w:type="fixed"/>
        <w:tblCellMar>
          <w:top w:w="28" w:type="dxa"/>
          <w:left w:w="28" w:type="dxa"/>
          <w:bottom w:w="28" w:type="dxa"/>
          <w:right w:w="28" w:type="dxa"/>
        </w:tblCellMar>
      </w:tblPr>
      <w:tblGrid>
        <w:gridCol w:w="3301"/>
        <w:gridCol w:w="2894"/>
        <w:gridCol w:w="2910"/>
        <w:gridCol w:w="176"/>
        <w:gridCol w:w="176"/>
        <w:gridCol w:w="249"/>
      </w:tblGrid>
      <w:tr>
        <w:trPr/>
        <w:tc>
          <w:tcPr>
            <w:tcW w:w="3301"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Page</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802">
              <w:r>
                <w:rPr>
                  <w:rStyle w:val="InternetLink"/>
                  <w:rFonts w:ascii="Arial;sans-serif" w:hAnsi="Arial;sans-serif"/>
                  <w:b w:val="false"/>
                  <w:color w:val="0000FF"/>
                  <w:sz w:val="20"/>
                  <w:u w:val="single"/>
                </w:rPr>
                <w:t>Reports of Independent Registered Public Accounting Firm (PCAOB ID No. </w:t>
              </w:r>
            </w:hyperlink>
            <w:r>
              <w:rPr>
                <w:rFonts w:ascii="Arial;sans-serif" w:hAnsi="Arial;sans-serif"/>
                <w:b w:val="false"/>
                <w:color w:val="000000"/>
                <w:sz w:val="20"/>
              </w:rPr>
              <w:t>34</w:t>
            </w:r>
            <w:hyperlink w:anchor="i8ee56d5a4deb4ee7b36a2447ff3c8ce3_802">
              <w:r>
                <w:rPr>
                  <w:rStyle w:val="InternetLink"/>
                  <w:rFonts w:ascii="Arial;sans-serif" w:hAnsi="Arial;sans-serif"/>
                  <w:b w:val="false"/>
                  <w:color w:val="0000FF"/>
                  <w:sz w:val="20"/>
                  <w:u w:val="single"/>
                </w:rPr>
                <w:t>)</w:t>
              </w:r>
            </w:hyperlink>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ee56d5a4deb4ee7b36a2447ff3c8ce3_802">
              <w:r>
                <w:rPr>
                  <w:rStyle w:val="InternetLink"/>
                  <w:rFonts w:ascii="Arial;sans-serif" w:hAnsi="Arial;sans-serif"/>
                  <w:b w:val="false"/>
                  <w:color w:val="0000FF"/>
                  <w:sz w:val="20"/>
                  <w:u w:val="single"/>
                </w:rPr>
                <w:t>69</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2">
              <w:r>
                <w:rPr>
                  <w:rStyle w:val="InternetLink"/>
                  <w:rFonts w:ascii="Arial;sans-serif" w:hAnsi="Arial;sans-serif"/>
                  <w:b w:val="false"/>
                  <w:color w:val="0000FF"/>
                  <w:sz w:val="20"/>
                  <w:u w:val="single"/>
                </w:rPr>
                <w:t>Consolidated Balance Sheets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2">
              <w:r>
                <w:rPr>
                  <w:rStyle w:val="InternetLink"/>
                  <w:rFonts w:ascii="Arial;sans-serif" w:hAnsi="Arial;sans-serif"/>
                  <w:b w:val="false"/>
                  <w:color w:val="0000FF"/>
                  <w:sz w:val="20"/>
                  <w:u w:val="single"/>
                </w:rPr>
                <w:t>71</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5">
              <w:r>
                <w:rPr>
                  <w:rStyle w:val="InternetLink"/>
                  <w:rFonts w:ascii="Arial;sans-serif" w:hAnsi="Arial;sans-serif"/>
                  <w:b w:val="false"/>
                  <w:color w:val="0000FF"/>
                  <w:sz w:val="20"/>
                  <w:u w:val="single"/>
                </w:rPr>
                <w:t>Consolidated Statements of Operations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5">
              <w:r>
                <w:rPr>
                  <w:rStyle w:val="InternetLink"/>
                  <w:rFonts w:ascii="Arial;sans-serif" w:hAnsi="Arial;sans-serif"/>
                  <w:b w:val="false"/>
                  <w:color w:val="0000FF"/>
                  <w:sz w:val="20"/>
                  <w:u w:val="single"/>
                </w:rPr>
                <w:t>72</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28">
              <w:r>
                <w:rPr>
                  <w:rStyle w:val="InternetLink"/>
                  <w:rFonts w:ascii="Arial;sans-serif" w:hAnsi="Arial;sans-serif"/>
                  <w:b w:val="false"/>
                  <w:color w:val="0000FF"/>
                  <w:sz w:val="20"/>
                  <w:u w:val="single"/>
                </w:rPr>
                <w:t>Consolidated Statements of Comprehensive Loss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28">
              <w:r>
                <w:rPr>
                  <w:rStyle w:val="InternetLink"/>
                  <w:rFonts w:ascii="Arial;sans-serif" w:hAnsi="Arial;sans-serif"/>
                  <w:b w:val="false"/>
                  <w:color w:val="0000FF"/>
                  <w:sz w:val="20"/>
                  <w:u w:val="single"/>
                </w:rPr>
                <w:t>73</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1">
              <w:r>
                <w:rPr>
                  <w:rStyle w:val="InternetLink"/>
                  <w:rFonts w:ascii="Arial;sans-serif" w:hAnsi="Arial;sans-serif"/>
                  <w:b w:val="false"/>
                  <w:color w:val="0000FF"/>
                  <w:sz w:val="20"/>
                  <w:u w:val="single"/>
                </w:rPr>
                <w:t>Consolidated Statements of Redeemable Convertible Preferred Stock and Stockholders’ Equity (Deficit)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1">
              <w:r>
                <w:rPr>
                  <w:rStyle w:val="InternetLink"/>
                  <w:rFonts w:ascii="Arial;sans-serif" w:hAnsi="Arial;sans-serif"/>
                  <w:b w:val="false"/>
                  <w:color w:val="0000FF"/>
                  <w:sz w:val="20"/>
                  <w:u w:val="single"/>
                </w:rPr>
                <w:t>74</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4">
              <w:r>
                <w:rPr>
                  <w:rStyle w:val="InternetLink"/>
                  <w:rFonts w:ascii="Arial;sans-serif" w:hAnsi="Arial;sans-serif"/>
                  <w:b w:val="false"/>
                  <w:color w:val="0000FF"/>
                  <w:sz w:val="20"/>
                  <w:u w:val="single"/>
                </w:rPr>
                <w:t>Consolidated Statements of Cash Flows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4">
              <w:r>
                <w:rPr>
                  <w:rStyle w:val="InternetLink"/>
                  <w:rFonts w:ascii="Arial;sans-serif" w:hAnsi="Arial;sans-serif"/>
                  <w:b w:val="false"/>
                  <w:color w:val="0000FF"/>
                  <w:sz w:val="20"/>
                  <w:u w:val="single"/>
                </w:rPr>
                <w:t>75</w:t>
              </w:r>
            </w:hyperlink>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56d5a4deb4ee7b36a2447ff3c8ce3_37">
              <w:r>
                <w:rPr>
                  <w:rStyle w:val="InternetLink"/>
                  <w:rFonts w:ascii="Arial;sans-serif" w:hAnsi="Arial;sans-serif"/>
                  <w:b w:val="false"/>
                  <w:color w:val="0000FF"/>
                  <w:sz w:val="20"/>
                  <w:u w:val="single"/>
                </w:rPr>
                <w:t>Notes to Consolidated Financial Statements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e56d5a4deb4ee7b36a2447ff3c8ce3_37">
              <w:r>
                <w:rPr>
                  <w:rStyle w:val="InternetLink"/>
                  <w:rFonts w:ascii="Arial;sans-serif" w:hAnsi="Arial;sans-serif"/>
                  <w:b w:val="false"/>
                  <w:color w:val="0000FF"/>
                  <w:sz w:val="20"/>
                  <w:u w:val="singl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Udemy, Inc.:</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Udemy, Inc. and subsidiaries (the "Company") as of December 31, 2023 and 2022, the related consolidated statements of operations, comprehensive loss, redeemable convertible preferred stock and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26, 2024, expressed an unqualified opinion on the Company's internal control over financial reporting.</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Revenue - Estimated service period for consumer single course purchases— Refer to Notes 2 and 3 to the financial statements.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Critical Audit Matter Description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Consumer customers purchasing a single course receive a lifetime license to the digital course content in addition to stand-ready access to the Udemy platform needed to access the course content. The Company recognizes revenue from consumer single course purchases over an estimated service period (“estimated service period”). The determination of the estimated service period involves management’s judgement in evaluating the average time period between a learner’s purchase date and the last date the learner accesses the purchased content (the “consumption data”), among other factors.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identified the estimated service period as a critical audit matter because the judgements made by management in determining the estimated service period rely on consumption data captured by automated and internally developed systems. This required a high degree of auditor judgement and increased extent of effort, including the need for us to involve professionals with expertise in information technology (IT), when performing audit procedures to test and evaluate the Company’s systems, software applications, and automated controls that relate to the consumption data.</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How the Critical Audit Matter Was Addressed in the Audit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Our audit procedures related to the estimated service period for consumer single course purchases included the following, among others:</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With the assistance of our IT specialists, we:</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Identified the relevant systems used to record consumer revenue transactions and capture consumption data and tested the effectiveness of the general IT controls over each of these systems, including testing of user access controls, change management controls, and IT operations controls.</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Performed testing of automated controls related to the capturing of consumption data.</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We tested the effectiveness of internal controls related to management’s review of factors used in determining the estimated service period for consumer single course purchases, including review of the consumption data.</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We evaluated the reasonableness of the methodology used by management to determine the estimated service period and tested the mathematical accuracy of the calculations involved.</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We evaluated the reasonableness of management's estimated service period by comparing the estimate to the consumption data and other internal and external information.</w:t>
      </w:r>
    </w:p>
    <w:p>
      <w:pPr>
        <w:pStyle w:val="TextBody"/>
        <w:bidi w:val="0"/>
        <w:spacing w:lineRule="auto" w:line="288" w:before="200" w:after="120"/>
        <w:ind w:left="0" w:right="0" w:hanging="360"/>
        <w:jc w:val="left"/>
        <w:rPr/>
      </w:pPr>
      <w:r>
        <w:rPr>
          <w:color w:val="000000"/>
        </w:rPr>
        <w:t>•</w:t>
      </w:r>
      <w:r>
        <w:rPr>
          <w:rFonts w:ascii="Arial;sans-serif" w:hAnsi="Arial;sans-serif"/>
          <w:b w:val="false"/>
          <w:color w:val="000000"/>
          <w:sz w:val="20"/>
        </w:rPr>
        <w:t>We tested the completeness and accuracy of the consumption data used to determine the estimated service period by independently purchasing and consuming courses and tracing the transaction and consumption data through the Company's IT systems and to its inclusion in the underlying course consumption data.</w:t>
      </w:r>
    </w:p>
    <w:p>
      <w:pPr>
        <w:pStyle w:val="TextBody"/>
        <w:bidi w:val="0"/>
        <w:spacing w:before="200" w:after="283"/>
        <w:jc w:val="left"/>
        <w:rPr/>
      </w:pPr>
      <w:r>
        <w:rPr/>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February 26, 2024</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Balance Sheets </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and per share amounts</w:t>
      </w:r>
      <w:r>
        <w:rPr>
          <w:rFonts w:ascii="Arial;sans-serif" w:hAnsi="Arial;sans-serif"/>
          <w:b w:val="false"/>
          <w:color w:val="000000"/>
          <w:sz w:val="20"/>
        </w:rPr>
        <w: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69"/>
        <w:gridCol w:w="2283"/>
        <w:gridCol w:w="2259"/>
        <w:gridCol w:w="207"/>
        <w:gridCol w:w="777"/>
        <w:gridCol w:w="114"/>
        <w:gridCol w:w="109"/>
        <w:gridCol w:w="109"/>
        <w:gridCol w:w="109"/>
        <w:gridCol w:w="210"/>
        <w:gridCol w:w="790"/>
        <w:gridCol w:w="169"/>
      </w:tblGrid>
      <w:tr>
        <w:trPr/>
        <w:tc>
          <w:tcPr>
            <w:tcW w:w="306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7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0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305,564 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313,685 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Marketable securities</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171,372 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151,687 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Accounts receivable, net </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104,530 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14,878 </w:t>
            </w:r>
          </w:p>
        </w:tc>
        <w:tc>
          <w:tcPr>
            <w:tcW w:w="169"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contract costs, current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632,328 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615,014 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31,388 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27,412 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non-current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Strategic investments</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12,104 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741,196 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737,568 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31,247 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Content costs payable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22,882 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279,414 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273,937 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386,907 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6,545 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 non-current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384,304 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398,258 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Note 8 – Commitments and contingencies</w:t>
            </w:r>
          </w:p>
        </w:tc>
        <w:tc>
          <w:tcPr>
            <w:tcW w:w="10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Stockholders' equity: </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$0.00001 par value - 50,000,000 shares authorized; zero shares issued and outstanding as of December 31, 2023, and December 31, 2022.</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$0.00001 par value - 950,000,000 shares authorized; 157,166,360 and 145,013,786 shares issued and outstanding as of December 31, 2023, and December 31, 2022, respectively.</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1,076,508 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951,946 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(719,698)</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(612,404)</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339,310 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741,196 </w:t>
            </w:r>
          </w:p>
        </w:tc>
        <w:tc>
          <w:tcPr>
            <w:tcW w:w="1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737,568 </w:t>
            </w:r>
          </w:p>
        </w:tc>
        <w:tc>
          <w:tcPr>
            <w:tcW w:w="1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and per share amounts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310"/>
        <w:gridCol w:w="1894"/>
        <w:gridCol w:w="1910"/>
        <w:gridCol w:w="217"/>
        <w:gridCol w:w="834"/>
        <w:gridCol w:w="109"/>
        <w:gridCol w:w="109"/>
        <w:gridCol w:w="109"/>
        <w:gridCol w:w="109"/>
        <w:gridCol w:w="217"/>
        <w:gridCol w:w="834"/>
        <w:gridCol w:w="109"/>
        <w:gridCol w:w="109"/>
        <w:gridCol w:w="109"/>
        <w:gridCol w:w="109"/>
        <w:gridCol w:w="202"/>
        <w:gridCol w:w="759"/>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6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1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1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419,339 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353,777 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279,633 </w:t>
            </w:r>
          </w:p>
        </w:tc>
        <w:tc>
          <w:tcPr>
            <w:tcW w:w="1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316,738 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301,347 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227,023 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93,898 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99,064 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64,410 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541,234 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504,967 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357,540 </w:t>
            </w:r>
          </w:p>
        </w:tc>
        <w:tc>
          <w:tcPr>
            <w:tcW w:w="1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16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expense,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18,254 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w:t>
            </w:r>
          </w:p>
        </w:tc>
        <w:tc>
          <w:tcPr>
            <w:tcW w:w="1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(78,843)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loss per share attributable to common stockholders</w:t>
            </w:r>
          </w:p>
        </w:tc>
        <w:tc>
          <w:tcPr>
            <w:tcW w:w="1160"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shares used in computing net loss per share attributable to common stockholders</w:t>
            </w:r>
          </w:p>
        </w:tc>
        <w:tc>
          <w:tcPr>
            <w:tcW w:w="1160"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150,098,776 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140,873,504 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54,972,827 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Loss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before="0" w:after="0"/>
        <w:jc w:val="center"/>
        <w:rPr/>
      </w:pPr>
      <w:r>
        <w:rPr/>
      </w:r>
    </w:p>
    <w:p>
      <w:pPr>
        <w:pStyle w:val="TextBody"/>
        <w:bidi w:val="0"/>
        <w:spacing w:before="0" w:after="0"/>
        <w:jc w:val="center"/>
        <w:rPr/>
      </w:pPr>
      <w:r>
        <w:rPr/>
      </w:r>
    </w:p>
    <w:tbl>
      <w:tblPr>
        <w:tblW w:w="9011" w:type="dxa"/>
        <w:jc w:val="center"/>
        <w:tblInd w:w="0" w:type="dxa"/>
        <w:tblLayout w:type="fixed"/>
        <w:tblCellMar>
          <w:top w:w="28" w:type="dxa"/>
          <w:left w:w="28" w:type="dxa"/>
          <w:bottom w:w="28" w:type="dxa"/>
          <w:right w:w="28" w:type="dxa"/>
        </w:tblCellMar>
      </w:tblPr>
      <w:tblGrid>
        <w:gridCol w:w="1830"/>
        <w:gridCol w:w="1608"/>
        <w:gridCol w:w="1616"/>
        <w:gridCol w:w="196"/>
        <w:gridCol w:w="811"/>
        <w:gridCol w:w="109"/>
        <w:gridCol w:w="109"/>
        <w:gridCol w:w="109"/>
        <w:gridCol w:w="109"/>
        <w:gridCol w:w="196"/>
        <w:gridCol w:w="811"/>
        <w:gridCol w:w="109"/>
        <w:gridCol w:w="109"/>
        <w:gridCol w:w="109"/>
        <w:gridCol w:w="109"/>
        <w:gridCol w:w="196"/>
        <w:gridCol w:w="72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currency translation gain (loss), net of tax</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unrealized gain (loss) on marketable securities,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other comprehensive income (loss)</w:t>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Comprehensive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Redeemable Convertible Preferred Stock and Stockholders’ Equity (Deficit)</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 except share amounts</w:t>
      </w:r>
      <w:r>
        <w:rPr>
          <w:rFonts w:ascii="Arial;sans-serif" w:hAnsi="Arial;sans-serif"/>
          <w:b w:val="false"/>
          <w:color w:val="000000"/>
          <w:sz w:val="20"/>
        </w:rPr>
        <w:t>)</w:t>
      </w:r>
    </w:p>
    <w:tbl>
      <w:tblPr>
        <w:tblW w:w="11608" w:type="dxa"/>
        <w:jc w:val="left"/>
        <w:tblInd w:w="0" w:type="dxa"/>
        <w:tblLayout w:type="fixed"/>
        <w:tblCellMar>
          <w:top w:w="28" w:type="dxa"/>
          <w:left w:w="28" w:type="dxa"/>
          <w:bottom w:w="28" w:type="dxa"/>
          <w:right w:w="28" w:type="dxa"/>
        </w:tblCellMar>
      </w:tblPr>
      <w:tblGrid>
        <w:gridCol w:w="419"/>
        <w:gridCol w:w="368"/>
        <w:gridCol w:w="369"/>
        <w:gridCol w:w="420"/>
        <w:gridCol w:w="421"/>
        <w:gridCol w:w="182"/>
        <w:gridCol w:w="109"/>
        <w:gridCol w:w="109"/>
        <w:gridCol w:w="109"/>
        <w:gridCol w:w="181"/>
        <w:gridCol w:w="646"/>
        <w:gridCol w:w="109"/>
        <w:gridCol w:w="109"/>
        <w:gridCol w:w="109"/>
        <w:gridCol w:w="109"/>
        <w:gridCol w:w="109"/>
        <w:gridCol w:w="109"/>
        <w:gridCol w:w="109"/>
        <w:gridCol w:w="457"/>
        <w:gridCol w:w="459"/>
        <w:gridCol w:w="186"/>
        <w:gridCol w:w="109"/>
        <w:gridCol w:w="109"/>
        <w:gridCol w:w="109"/>
        <w:gridCol w:w="181"/>
        <w:gridCol w:w="406"/>
        <w:gridCol w:w="109"/>
        <w:gridCol w:w="109"/>
        <w:gridCol w:w="109"/>
        <w:gridCol w:w="109"/>
        <w:gridCol w:w="181"/>
        <w:gridCol w:w="766"/>
        <w:gridCol w:w="109"/>
        <w:gridCol w:w="109"/>
        <w:gridCol w:w="109"/>
        <w:gridCol w:w="109"/>
        <w:gridCol w:w="285"/>
        <w:gridCol w:w="639"/>
        <w:gridCol w:w="172"/>
        <w:gridCol w:w="109"/>
        <w:gridCol w:w="109"/>
        <w:gridCol w:w="109"/>
        <w:gridCol w:w="181"/>
        <w:gridCol w:w="646"/>
        <w:gridCol w:w="109"/>
        <w:gridCol w:w="109"/>
        <w:gridCol w:w="109"/>
        <w:gridCol w:w="109"/>
        <w:gridCol w:w="181"/>
        <w:gridCol w:w="65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Accumulated </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Stockholders’</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Equity (Deficit)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 December 31, 2020</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85,391,338 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274,104 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35,627,503 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117,818 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(378,503)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(260,685)</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Series A-1 redeemable convertible preferred stock warrants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Conversion of redeemable convertible preferred stock to common stock upon initial public offering</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(85,403,933)</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(274,267)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85,403,933 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274,267 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initial public offering, net of issuance costs and underwriting discount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15,150,000 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2,921,957 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stock issued for business combination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61,300 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(80,026)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Balance—December 31, 2021</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139,164,693 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87,152 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1,569,999 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3,408,672 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Reclassification of stock appreciation rights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870,422 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9,192 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(153,875)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Balance—December 31, 2022</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145,013,786 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5,477,153 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6,134,641 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1,029,344 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related to net share settlement of equity awards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(488,564)</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(107,294)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(107,294)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Balance—December 31, 2023</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157,166,360 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pPr>
      <w:r>
        <w:rPr>
          <w:rFonts w:ascii="Arial;sans-serif" w:hAnsi="Arial;sans-serif"/>
          <w:b w:val="false"/>
          <w:color w:val="000000"/>
          <w:sz w:val="20"/>
        </w:rPr>
        <w:t>(</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2"/>
        <w:gridCol w:w="1973"/>
        <w:gridCol w:w="1978"/>
        <w:gridCol w:w="196"/>
        <w:gridCol w:w="795"/>
        <w:gridCol w:w="109"/>
        <w:gridCol w:w="109"/>
        <w:gridCol w:w="109"/>
        <w:gridCol w:w="109"/>
        <w:gridCol w:w="196"/>
        <w:gridCol w:w="795"/>
        <w:gridCol w:w="109"/>
        <w:gridCol w:w="109"/>
        <w:gridCol w:w="109"/>
        <w:gridCol w:w="109"/>
        <w:gridCol w:w="196"/>
        <w:gridCol w:w="736"/>
        <w:gridCol w:w="156"/>
      </w:tblGrid>
      <w:tr>
        <w:trPr/>
        <w:tc>
          <w:tcPr>
            <w:tcW w:w="231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loss attributable to common stockholders to net cash used in operating activities:</w:t>
            </w:r>
          </w:p>
        </w:tc>
        <w:tc>
          <w:tcPr>
            <w:tcW w:w="110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deferred contract costs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48,161 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17,801 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marketable securities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operating lease expense</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strategic investments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(32,309)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(27,000)</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(56,890)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(36,508)</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other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Content costs payable</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4,389 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67,725 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66,568 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marketable securities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295,800 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costs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(12,434)</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(12,868)</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strategic investments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business combinations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(24,490)</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proceeds from exercise of stock options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proceeds from issuance of redeemable convertible preferred stock</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share purchases under employee stock purchase plan</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redeemable convertible preferred stock issuance costs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offering costs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(5,183)</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proceeds from initial public offering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99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19,195 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14,755 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418,634 </w:t>
            </w:r>
          </w:p>
        </w:tc>
        <w:tc>
          <w:tcPr>
            <w:tcW w:w="1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rates on cash flows</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cash equivalents and restricted cash</w:t>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(219,454)</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358,837 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Cash, cash equivalents and restricted cash</w:t>
            </w:r>
            <w:r>
              <w:rPr>
                <w:color w:val="000000"/>
              </w:rPr>
              <w:t>—</w:t>
            </w:r>
            <w:r>
              <w:rPr>
                <w:rFonts w:ascii="Arial;sans-serif" w:hAnsi="Arial;sans-serif"/>
                <w:b w:val="false"/>
                <w:color w:val="000000"/>
                <w:sz w:val="16"/>
              </w:rPr>
              <w:t>Beginning of period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3"/>
            <w:tcBorders/>
            <w:shd w:fill="DDDDDD"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6"/>
              </w:rPr>
              <w:t>Cash, cash equivalents and restricted cash</w:t>
            </w:r>
            <w:r>
              <w:rPr>
                <w:color w:val="000000"/>
              </w:rPr>
              <w:t>—</w:t>
            </w:r>
            <w:r>
              <w:rPr>
                <w:rFonts w:ascii="Arial;sans-serif" w:hAnsi="Arial;sans-serif"/>
                <w:b w:val="false"/>
                <w:color w:val="000000"/>
                <w:sz w:val="16"/>
              </w:rPr>
              <w:t>End of period</w:t>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309,552 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317,314 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536,768 </w:t>
            </w:r>
          </w:p>
        </w:tc>
        <w:tc>
          <w:tcPr>
            <w:tcW w:w="15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9642" w:type="dxa"/>
        <w:jc w:val="center"/>
        <w:tblInd w:w="0" w:type="dxa"/>
        <w:tblLayout w:type="fixed"/>
        <w:tblCellMar>
          <w:top w:w="28" w:type="dxa"/>
          <w:left w:w="28" w:type="dxa"/>
          <w:bottom w:w="28" w:type="dxa"/>
          <w:right w:w="28" w:type="dxa"/>
        </w:tblCellMar>
      </w:tblPr>
      <w:tblGrid>
        <w:gridCol w:w="2109"/>
        <w:gridCol w:w="1851"/>
        <w:gridCol w:w="1860"/>
        <w:gridCol w:w="196"/>
        <w:gridCol w:w="736"/>
        <w:gridCol w:w="109"/>
        <w:gridCol w:w="109"/>
        <w:gridCol w:w="109"/>
        <w:gridCol w:w="109"/>
        <w:gridCol w:w="196"/>
        <w:gridCol w:w="736"/>
        <w:gridCol w:w="109"/>
        <w:gridCol w:w="109"/>
        <w:gridCol w:w="109"/>
        <w:gridCol w:w="109"/>
        <w:gridCol w:w="196"/>
        <w:gridCol w:w="736"/>
        <w:gridCol w:w="154"/>
      </w:tblGrid>
      <w:tr>
        <w:trPr/>
        <w:tc>
          <w:tcPr>
            <w:tcW w:w="2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2021</w:t>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cash, cash equivalents and restricted cash:</w:t>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533,868 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cash, cash equivalents and restricted cash</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in capitalized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in unrealized gain (loss) on marketable securities</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Unpaid deferred offering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holdback liability</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Udemy,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4"/>
          <w:shd w:fill="FFFFFF" w:val="clear"/>
        </w:rPr>
      </w:pPr>
      <w:r>
        <w:rPr>
          <w:rFonts w:ascii="Arial;sans-serif" w:hAnsi="Arial;sans-serif"/>
          <w:b/>
          <w:color w:val="000000"/>
          <w:sz w:val="24"/>
          <w:shd w:fill="FFFFFF" w:val="clear"/>
        </w:rPr>
        <w:t>1. Organization and description of business</w:t>
      </w:r>
    </w:p>
    <w:p>
      <w:pPr>
        <w:pStyle w:val="TextBody"/>
        <w:bidi w:val="0"/>
        <w:spacing w:lineRule="auto" w:line="288" w:before="120" w:after="283"/>
        <w:jc w:val="left"/>
        <w:rPr>
          <w:rFonts w:ascii="Arial;sans-serif" w:hAnsi="Arial;sans-serif"/>
          <w:b/>
          <w:i/>
          <w:color w:val="000000"/>
          <w:sz w:val="20"/>
          <w:shd w:fill="FFFFFF" w:val="clear"/>
        </w:rPr>
      </w:pPr>
      <w:r>
        <w:rPr>
          <w:rFonts w:ascii="Arial;sans-serif" w:hAnsi="Arial;sans-serif"/>
          <w:b/>
          <w:i/>
          <w:color w:val="000000"/>
          <w:sz w:val="20"/>
          <w:shd w:fill="FFFFFF" w:val="clear"/>
        </w:rPr>
        <w:t>Description of business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Udemy, Inc. (“Udemy” or the “Company”) was incorporated in January 2010 under the laws of the state of Delaware. The Company is headquartered in San Francisco, California.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Udemy is a global learning company whose online platform empowers organizations and individuals with flexible and effective skill acquisition and development. The Company’s learning marketplace platform enables tens of thousands of subject matter experts to develop, distribute and enhance content that reaches Udemy’s broad global audience of learners. Udemy leverages technology, data and insights to deliver personalized and effective learning experiences. The Company further curates its highest-quality content from the marketplace for Udemy Business, which enables companies around the world to offer engaging, effective, on-demand learning for all employees, immersive laboratory-style learning for tech teams, and cohort-based learning focused on leadership development.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2. Summary of significant accounting policies</w:t>
      </w:r>
    </w:p>
    <w:p>
      <w:pPr>
        <w:pStyle w:val="TextBody"/>
        <w:bidi w:val="0"/>
        <w:spacing w:lineRule="auto" w:line="288" w:before="120" w:after="283"/>
        <w:jc w:val="left"/>
        <w:rPr/>
      </w:pPr>
      <w:r>
        <w:rPr>
          <w:rFonts w:ascii="Arial;sans-serif" w:hAnsi="Arial;sans-serif"/>
          <w:b/>
          <w:i/>
          <w:color w:val="000000"/>
          <w:sz w:val="20"/>
          <w:shd w:fill="FFFFFF" w:val="clear"/>
        </w:rPr>
        <w:t>Basis of consolidation and presentation</w:t>
      </w:r>
      <w:r>
        <w:rPr>
          <w:color w:val="000000"/>
          <w:shd w:fill="FFFFFF" w:val="clear"/>
        </w:rPr>
        <w:t xml:space="preserve">— </w:t>
      </w:r>
      <w:r>
        <w:rPr>
          <w:rFonts w:ascii="Arial;sans-serif" w:hAnsi="Arial;sans-serif"/>
          <w:b w:val="false"/>
          <w:color w:val="000000"/>
          <w:sz w:val="20"/>
          <w:shd w:fill="FFFFFF" w:val="clear"/>
        </w:rPr>
        <w:t xml:space="preserve">The accompanying consolidated financial statements have been prepared in accordance with accounting principles generally accepted in the United States of America (“GAAP”). The consolidated financial statements include the accounts of the Company and its wholly owned subsidiaries. All intercompany transactions and balances have been eliminated in consolidation, and all other normal and recurring adjustments that are, in the opinion of management, necessary for a fair presentation of the results of the periods presented have been made.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Segment information</w:t>
      </w:r>
      <w:r>
        <w:rPr>
          <w:color w:val="000000"/>
          <w:shd w:fill="FFFFFF" w:val="clear"/>
        </w:rPr>
        <w:t xml:space="preserve">— </w:t>
      </w:r>
      <w:r>
        <w:rPr>
          <w:rFonts w:ascii="Arial;sans-serif" w:hAnsi="Arial;sans-serif"/>
          <w:b w:val="false"/>
          <w:color w:val="000000"/>
          <w:sz w:val="20"/>
          <w:shd w:fill="FFFFFF" w:val="clear"/>
        </w:rPr>
        <w:t xml:space="preserve">On March 1, 2023, Greg Brown succeeded Gregg Coccari as the Company’s Chief Executive Officer and chief operating decision maker (“CODM”). The Company defines its segments as those operations the CODM regularly reviews to allocate resources and assess performance. For the </w:t>
      </w:r>
      <w:r>
        <w:rPr>
          <w:rFonts w:ascii="Arial;sans-serif" w:hAnsi="Arial;sans-serif"/>
          <w:b w:val="false"/>
          <w:color w:val="000000"/>
          <w:sz w:val="20"/>
        </w:rPr>
        <w:t xml:space="preserve">fiscal years ended December 31, 2023, </w:t>
      </w:r>
      <w:r>
        <w:rPr>
          <w:rFonts w:ascii="Arial;sans-serif" w:hAnsi="Arial;sans-serif"/>
          <w:b w:val="false"/>
          <w:color w:val="000000"/>
          <w:sz w:val="20"/>
          <w:shd w:fill="FFFFFF" w:val="clear"/>
        </w:rPr>
        <w:t>2022, and 2021, the Company operated under two operating and reportable segments: Enterprise and Consumer.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w:t>
      </w:r>
      <w:r>
        <w:rPr>
          <w:rFonts w:ascii="Arial;sans-serif" w:hAnsi="Arial;sans-serif"/>
          <w:b w:val="false"/>
          <w:color w:val="000000"/>
          <w:sz w:val="20"/>
        </w:rPr>
        <w:t>pany’s segment reporting, see Note 14 – Segment and geographic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Use of estimates</w:t>
      </w:r>
      <w:r>
        <w:rPr>
          <w:color w:val="000000"/>
          <w:shd w:fill="FFFFFF" w:val="clear"/>
        </w:rPr>
        <w:t xml:space="preserve">— </w:t>
      </w:r>
      <w:r>
        <w:rPr>
          <w:rFonts w:ascii="Arial;sans-serif" w:hAnsi="Arial;sans-serif"/>
          <w:b w:val="false"/>
          <w:color w:val="000000"/>
          <w:sz w:val="20"/>
          <w:shd w:fill="FFFFFF" w:val="clear"/>
        </w:rPr>
        <w:t>The preparation of consolidated financial statements in conformity with GAAP requires management to make estimates and assumptions that affect the reported amounts of assets and liabilities and disclosure of contingent assets and liabilities at the dates of the consolidated financial statements and the results of operations during the reporting periods.</w:t>
      </w:r>
    </w:p>
    <w:p>
      <w:pPr>
        <w:pStyle w:val="TextBody"/>
        <w:bidi w:val="0"/>
        <w:spacing w:lineRule="auto" w:line="288" w:before="120" w:after="283"/>
        <w:jc w:val="left"/>
        <w:rPr/>
      </w:pPr>
      <w:r>
        <w:rPr>
          <w:rFonts w:ascii="Arial;sans-serif" w:hAnsi="Arial;sans-serif"/>
          <w:b w:val="false"/>
          <w:color w:val="000000"/>
          <w:sz w:val="20"/>
          <w:shd w:fill="FFFFFF" w:val="clear"/>
        </w:rPr>
        <w:t>Significant estimates and assumptions reflected in the consolidated financial statements include, but are not limited to, allowance for credit losses, capitalization of internally developed software and ass</w:t>
      </w:r>
      <w:r>
        <w:rPr>
          <w:rFonts w:ascii="Arial;sans-serif" w:hAnsi="Arial;sans-serif"/>
          <w:b w:val="false"/>
          <w:color w:val="000000"/>
          <w:sz w:val="20"/>
        </w:rPr>
        <w:t>ociated useful lives, stock-based compensation, determination of the income tax valuation allowance and the potential outcome of uncertain tax positions, estimated service period for consumer single course purchases, the period of benefit for deferred commissions, t</w:t>
      </w:r>
      <w:r>
        <w:rPr>
          <w:rFonts w:ascii="Arial;sans-serif" w:hAnsi="Arial;sans-serif"/>
          <w:b w:val="false"/>
          <w:color w:val="000000"/>
          <w:sz w:val="20"/>
          <w:shd w:fill="FFFFFF" w:val="clear"/>
        </w:rPr>
        <w:t xml:space="preserve">he fair value and associated useful lives of intangible assets and goodwill acquired via business combinations, the valuation of privately-held strategic investments, including impairments, and the carrying value of our </w:t>
      </w:r>
      <w:r>
        <w:rPr>
          <w:rFonts w:ascii="Arial;sans-serif" w:hAnsi="Arial;sans-serif"/>
          <w:b w:val="false"/>
          <w:color w:val="000000"/>
          <w:sz w:val="20"/>
        </w:rPr>
        <w:t>operating lease right-of-use (“ROU”)</w:t>
      </w:r>
      <w:r>
        <w:rPr>
          <w:color w:val="000000"/>
          <w:shd w:fill="FFFFFF" w:val="clear"/>
        </w:rPr>
        <w:t xml:space="preserve"> </w:t>
      </w:r>
      <w:r>
        <w:rPr>
          <w:rFonts w:ascii="Arial;sans-serif" w:hAnsi="Arial;sans-serif"/>
          <w:b w:val="false"/>
          <w:color w:val="000000"/>
          <w:sz w:val="20"/>
          <w:shd w:fill="FFFFFF" w:val="clear"/>
        </w:rPr>
        <w:t>assets. Management periodically evaluates such estimates and assumptions for continued reasonableness.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Actual results may ultimately differ from management’s estimates and such differences could be material to the Company’s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shd w:fill="FFFFFF" w:val="clear"/>
        </w:rPr>
        <w:t>Concentration of credit risk</w:t>
      </w:r>
      <w:r>
        <w:rPr>
          <w:color w:val="000000"/>
          <w:shd w:fill="FFFFFF" w:val="clear"/>
        </w:rPr>
        <w:t xml:space="preserve">— </w:t>
      </w:r>
      <w:r>
        <w:rPr>
          <w:rFonts w:ascii="Arial;sans-serif" w:hAnsi="Arial;sans-serif"/>
          <w:b w:val="false"/>
          <w:color w:val="000000"/>
          <w:sz w:val="20"/>
          <w:shd w:fill="FFFFFF" w:val="clear"/>
        </w:rPr>
        <w:t>Financial instruments that potentially subject the Company to concentrations of credit risk consist primarily of cash and cash equivalents, marketable securities, restricted cash, and accounts receivable. For cash and restricted cash, the Company is exposed to credit risk in the event of default by the financial institutions to the extent the amounts recorded on the accompanying consolidated balance sheets are in excess of federal insurance limits. The Company’s investments that are classified as cash equivalents and marketable securities consist of high-credit-quality instruments and fixed-income securities.</w:t>
      </w:r>
    </w:p>
    <w:p>
      <w:pPr>
        <w:pStyle w:val="TextBody"/>
        <w:bidi w:val="0"/>
        <w:spacing w:lineRule="auto" w:line="288" w:before="120" w:after="283"/>
        <w:jc w:val="left"/>
        <w:rPr/>
      </w:pPr>
      <w:r>
        <w:rPr>
          <w:rFonts w:ascii="Arial;sans-serif" w:hAnsi="Arial;sans-serif"/>
          <w:b w:val="false"/>
          <w:color w:val="000000"/>
          <w:sz w:val="20"/>
          <w:shd w:fill="FFFFFF" w:val="clear"/>
        </w:rPr>
        <w:t>The Company generally does not require collateral or other security in support of accounts receivable. To reduce credit risk, management performs ongoing evaluations of its customers’ financial condition and maintains an allowance based upon expected c</w:t>
      </w:r>
      <w:r>
        <w:rPr>
          <w:rFonts w:ascii="Arial;sans-serif" w:hAnsi="Arial;sans-serif"/>
          <w:b w:val="false"/>
          <w:color w:val="000000"/>
          <w:sz w:val="20"/>
        </w:rPr>
        <w:t>redit losses of outstanding receivables. The Company had no customers who accounted for more than 10% of accounts receivable as of December 31, 2023, or December 31, 2022. No customer accounted for more than 10% of total revenue during the fiscal years ended December 31, 2023, 2022, or 2021.</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Summary of significant ac</w:t>
      </w:r>
      <w:r>
        <w:rPr>
          <w:rFonts w:ascii="Arial;sans-serif" w:hAnsi="Arial;sans-serif"/>
          <w:b/>
          <w:i/>
          <w:color w:val="000000"/>
          <w:sz w:val="20"/>
          <w:shd w:fill="FFFFFF" w:val="clear"/>
        </w:rPr>
        <w:t>counting policies</w:t>
      </w:r>
    </w:p>
    <w:p>
      <w:pPr>
        <w:pStyle w:val="TextBody"/>
        <w:bidi w:val="0"/>
        <w:spacing w:lineRule="auto" w:line="288" w:before="120" w:after="283"/>
        <w:jc w:val="left"/>
        <w:rPr/>
      </w:pPr>
      <w:r>
        <w:rPr>
          <w:rFonts w:ascii="Arial;sans-serif" w:hAnsi="Arial;sans-serif"/>
          <w:b/>
          <w:i/>
          <w:color w:val="000000"/>
          <w:sz w:val="20"/>
        </w:rPr>
        <w:t>Revenue recognition—</w:t>
      </w:r>
      <w:r>
        <w:rPr>
          <w:color w:val="000000"/>
        </w:rPr>
        <w:t xml:space="preserve"> </w:t>
      </w:r>
      <w:r>
        <w:rPr>
          <w:rFonts w:ascii="Arial;sans-serif" w:hAnsi="Arial;sans-serif"/>
          <w:b w:val="false"/>
          <w:color w:val="000000"/>
          <w:sz w:val="20"/>
        </w:rPr>
        <w:t>The Company accounts for revenue under ASC Topic 606, Revenue from Contracts with Customers. The Company’s two sources of revenues are its Enterprise and Consumer business channels.</w:t>
      </w:r>
    </w:p>
    <w:p>
      <w:pPr>
        <w:pStyle w:val="TextBody"/>
        <w:bidi w:val="0"/>
        <w:spacing w:lineRule="auto" w:line="288" w:before="120" w:after="283"/>
        <w:jc w:val="left"/>
        <w:rPr/>
      </w:pPr>
      <w:r>
        <w:rPr>
          <w:rFonts w:ascii="Arial;sans-serif" w:hAnsi="Arial;sans-serif"/>
          <w:b w:val="false"/>
          <w:i/>
          <w:color w:val="000000"/>
          <w:sz w:val="20"/>
        </w:rPr>
        <w:t>Enterprise revenue—</w:t>
      </w:r>
      <w:r>
        <w:rPr>
          <w:color w:val="000000"/>
        </w:rPr>
        <w:t xml:space="preserve"> </w:t>
      </w:r>
      <w:r>
        <w:rPr>
          <w:rFonts w:ascii="Arial;sans-serif" w:hAnsi="Arial;sans-serif"/>
          <w:b w:val="false"/>
          <w:color w:val="000000"/>
          <w:sz w:val="20"/>
        </w:rPr>
        <w:t>The Company primarily generates revenue by selling subscription licenses to a variety of enterprise and government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subscription contracts with enterprise customers generally have annual or multi-year contractual terms and consist of a fixed quantity of seat licenses, which allows each seat to access an unlimited number of course enrollments during the contract term. Enterprise license subscriptions include Team Plan, Enterprise Plan, Udemy Business Pro, and Leadership Academy. Subscribers retain access to the courses in which they enroll for the duration of their subscriptions (including any renewal period), even if the instructor subsequently elects to remove the course from the Company’s subscription programs. Enterprise contracts are typically evidenced by a fully executed Master Services Agreement with an accompanying executed Order Form specifying the contractual subscription term and pricing. Revenue is recognized ratably over the respective contractual subscription term beginning on the date that the platform is made available to the customer. Enterprise revenue recognized from professional services was immaterial for the periods presented.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Standard subscription agreements have auto-renewal clauses, which allow the agreement to continue after the expiration of the initial term. The Company’s standard billing terms are to invoice upfront annually for contracts with terms of one year or longer. For contracts that are less than one year, the Company generally bills in advance on a quarterly or semi-annual basis. The Company recognizes unbilled receivables that relate to consideration for services completed but not billed as of period end. Unbilled receivables are recorded in accounts receivable, net, and were not material for any period presented.</w:t>
      </w:r>
    </w:p>
    <w:p>
      <w:pPr>
        <w:pStyle w:val="TextBody"/>
        <w:bidi w:val="0"/>
        <w:spacing w:lineRule="auto" w:line="288" w:before="120" w:after="283"/>
        <w:jc w:val="left"/>
        <w:rPr/>
      </w:pPr>
      <w:r>
        <w:rPr>
          <w:rFonts w:ascii="Arial;sans-serif" w:hAnsi="Arial;sans-serif"/>
          <w:b w:val="false"/>
          <w:i/>
          <w:color w:val="000000"/>
          <w:sz w:val="20"/>
        </w:rPr>
        <w:t>Consumer revenue—</w:t>
      </w:r>
      <w:r>
        <w:rPr>
          <w:color w:val="000000"/>
        </w:rPr>
        <w:t xml:space="preserve"> </w:t>
      </w:r>
      <w:r>
        <w:rPr>
          <w:rFonts w:ascii="Arial;sans-serif" w:hAnsi="Arial;sans-serif"/>
          <w:b w:val="false"/>
          <w:color w:val="000000"/>
          <w:sz w:val="20"/>
        </w:rPr>
        <w:t>The Company generates revenue by selling access to course content on the Udemy platform directly to individual learners. Consumer revenues consist of (i) single course purchases and (ii) consumer subscriptions. All contracts with consumer customers are billed in advance and require payment via credit card by the customer prior to accessing any course content, or in the case for new consumer subscription customers, upon expiration of a 7-day free trial available to new customers in certain jurisdictions.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After checkout, consumer customers purchasing a single course receive a lifetime access license to the digital course content in addition to stand-ready access to the Udemy platform online services needed to access the content. Consumer subscription plans offer on-demand access to a library of courses over a subscription term, as well as additional features and functionalities.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revenue transactions are governed by Udemy’s standard terms of use. The time between a customer’s payment and the receipt of funds is not significant. Payment terms are generally fixed and do not include variable consideration. Consumer revenues are recorded net of actual and estimated refunds and exclude any taxes that are collected from learners and remitted to governmental authorities. Consumer revenue arrangements do not include significant obligations associated with warranties.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subscriptions are either one-month or one-year in duration and paid in advance, with new customers in certain jurisdictions able to sign up for a 7-day free trial period. Once the free trial period lapses and advance payment is made, there is no right to a refund (unless otherwise required by applicable law). Subscribers have continuous access to enroll in and consume an unlimited number of curated courses included in the subscription catalog on the platform during the subscription term. Subscribers retain access to the courses in which they enroll for the duration of their subscriptions (including any renewal period), even if the instructor subsequently elects to remove the course from the Company’s subscription programs. The continual access to the platform represents a series of distinct services, as the Company continually provides access to, and fulfills its obligation to, the customer over the contract term. Consumer subscriptions automatically renew at the end of the subscription term. Customers may cancel renewal of their subscription at any point but will retain their access to the platform until the end of the current subscription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from contracts with customers is recognized when control of promised services is transferred. The amount of revenue recognized reflects the consideration the Company expects to be entitled to receive in exchange for these services. The Company accounts for revenue contracts with customers using the five-step model under ASC Topic 606:</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1) Identify the contract with a customer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Udemy determines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if available.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2) Identify the performance obligations in the contract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Udemy, and are distinct in the context of the contract, whereby the transfer of the services and the products is separately identifiable from other promises in the contract. Customers do not have the ability to take possession of the software supporting the platform and, as a result, contracts are accounted for as service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non-exclusive lifetime access license associated with single course purchases and the licensed content associated with subscriptions are not considered distinct from the Udemy platform, because the course content is significantly integrated, and highly interdependent with the platform. Specifically, the learner does not obtain control of the course content’s intellectual property and functionality without the Udemy platform. Accordingly, management concluded there is a single, combined performance obligation, which is customer’s access to the online content on the Udemy platform, representing a series of distinct services as the Company continually provides access to and fulfills its obligation to allow access to licensed content and platform functionality to the learner.</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3) Determine the transaction price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transaction price is determined based on the consideration to which Udemy expects to be entitled in exchange for transferring services to the customer. The prices for Consumer and Enterprise, or Udemy Business (“UB”), contracts are fixed at contract inception and do not contain significant estimates related to variable consideration. With respect to single course purchases, consumers may request a full refund within 30 days after the initial purchase transaction. The Company estimates and establishes a refund reserve based on historical refund rates, which has historically been immaterial. None of the Company’s contracts contain a significant financing component. Revenue excludes taxes collected from customers, which are subsequently remitted to governmental entities (e.g., sales and other indirect taxes).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4) Allocate the transaction price to performance obligations in the contract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Contracts that contain multiple performance obligations require an allocation of the transaction price to each performance obligation based on each performance obligation’s relative standalone selling price.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access to content is not considered distinct from the Udemy platform hosting services, the transaction price is allocated to a single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5) Recognize revenue when or as performance obligations are satisfied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is recognized at the time the related performance obligation is satisfied by transferring the control of the promised service to a customer. Revenue is recognized in an amount that reflects the consideration that Udemy expects to receive in exchange for those services. Udemy has a stand ready obligation to deliver its services continually throughout the requisite contract period, which is either lifetime access for consumer single course purchases or the contractual subscription term for UB and consumer subscription customers. As such, the Company recognizes revenue on a straight-line basis as it satisfies the performance obligation, using an estimated service period for consumer single course purchases and the contractual subscription term for UB and consumer subscription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records contract liabilities to deferred revenue for amounts billed to customers in advance of the performance obligations being satisfied, and primarily consists of the unearned portion of enterprise and consumer services. The amount of revenue recognized in the periods presented from performance obligations satisfied (or partially satisfied) in prior periods was not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than the circumstances noted below, no significant judgment has historically been required in determining the amount and timing of revenue from the Company’s contracts with customers.</w:t>
      </w:r>
    </w:p>
    <w:p>
      <w:pPr>
        <w:pStyle w:val="TextBody"/>
        <w:bidi w:val="0"/>
        <w:spacing w:lineRule="auto" w:line="288" w:before="120" w:after="283"/>
        <w:jc w:val="left"/>
        <w:rPr/>
      </w:pPr>
      <w:r>
        <w:rPr>
          <w:rFonts w:ascii="Arial;sans-serif" w:hAnsi="Arial;sans-serif"/>
          <w:b w:val="false"/>
          <w:i/>
          <w:color w:val="000000"/>
          <w:sz w:val="20"/>
        </w:rPr>
        <w:t>Principal vs. agent—</w:t>
      </w:r>
      <w:r>
        <w:rPr>
          <w:rFonts w:ascii="Arial;sans-serif" w:hAnsi="Arial;sans-serif"/>
          <w:b w:val="false"/>
          <w:color w:val="000000"/>
          <w:sz w:val="20"/>
        </w:rPr>
        <w:t>In order to determine if revenue should be reported gross or net of either payments to third-party instructors or amounts retained by reseller partners who sell access to Enterprise subscription offerings, the Company evaluated whether Udemy acts as the principal in sales of its online course offerings. An entity is the principal if it controls a good or service before it is transferred to the end customer. Key indicators that management evaluated in determining gross versus net treatment included but are not limited to:</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nature of the Company’s promise to the customer, as well as the distinct performance obligation identified;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underlying contract terms and conditions between the parties to the transaction;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which party is primarily responsible for fulfilling the promise to provide the specified good or service to the end customer;</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which party has inventory risk before the specified good or service has been transferred to the end customer;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which party has discretion in establishing the price for the specified good or service.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an evaluation of the above indicators, management determined that the Company is the principal to learners who purchase access to online course content via direct or reseller sales of its enterprise and consumer offerings. The Company controls the promised goods or services (i.e., access to course content via the Udemy platform) before it is transferred to the customer and is primarily responsible for fulfillment with respect to delivering access to course content. The Company is the entity which licenses content to learners as the agreements with instructors grant the Company the right to sub-license content to its learners at its discretion. The Company also has substantial discretion to determine the pricing of its offerings. Therefore, the Company reports the gross purchase price paid by the customer related to these arrangements in the revenue caption of the consolidated statements of operations. The Company records payments to instructors as content costs within cost of revenues, while amounts retained by reseller partners for Enterprise sales are recognized as customer support costs within cost of revenues and deferred sales commissions within sales and marketing, based on the nature of the partnership transaction.</w:t>
      </w:r>
    </w:p>
    <w:p>
      <w:pPr>
        <w:pStyle w:val="TextBody"/>
        <w:bidi w:val="0"/>
        <w:spacing w:lineRule="auto" w:line="288" w:before="120" w:after="283"/>
        <w:jc w:val="left"/>
        <w:rPr/>
      </w:pPr>
      <w:r>
        <w:rPr>
          <w:rFonts w:ascii="Arial;sans-serif" w:hAnsi="Arial;sans-serif"/>
          <w:b w:val="false"/>
          <w:i/>
          <w:color w:val="000000"/>
          <w:sz w:val="20"/>
        </w:rPr>
        <w:t>Estimated service period for consumer single course purchases—</w:t>
      </w:r>
      <w:r>
        <w:rPr>
          <w:rFonts w:ascii="Arial;sans-serif" w:hAnsi="Arial;sans-serif"/>
          <w:b w:val="false"/>
          <w:color w:val="000000"/>
          <w:sz w:val="20"/>
        </w:rPr>
        <w:t xml:space="preserve">The Company considers a variety of data points when determining the estimated service period for a consumer single course purchase over which revenue is recognized. Quantitative data points considered include, but are not limited to, the average time period between a learner’s purchase date and the last date the learner accesses the purchased content, the average total hours consumed for a given purchase, and the time period over which learner activity stabilizes. Management also considers certain qualitative factors such as the nature of the Company’s consumer offerings, known online trends, and, to the extent publicly available, service periods of competitors’ online content that is similar in nature to those offered by the Company. The Company believes consideration of all of these factors enables the Company to determine the best representation of the time period during which consumer learners access the online course content on the Company’s platform and therefore the service period over which the Company provides services to learners. Determining the estimated service period is subjective and requires management’s judgment. Future usage patterns may differ from historical usage patterns, and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service period may change in the future. The estimated service period for consumer single course purchase transactions is four months from the date of enrollment.</w:t>
      </w:r>
    </w:p>
    <w:p>
      <w:pPr>
        <w:pStyle w:val="TextBody"/>
        <w:bidi w:val="0"/>
        <w:spacing w:lineRule="auto" w:line="288" w:before="120" w:after="283"/>
        <w:jc w:val="left"/>
        <w:rPr/>
      </w:pPr>
      <w:r>
        <w:rPr>
          <w:rFonts w:ascii="Arial;sans-serif" w:hAnsi="Arial;sans-serif"/>
          <w:b/>
          <w:i/>
          <w:color w:val="000000"/>
          <w:sz w:val="20"/>
        </w:rPr>
        <w:t>Cost of revenues—</w:t>
      </w:r>
      <w:r>
        <w:rPr>
          <w:color w:val="000000"/>
        </w:rPr>
        <w:t xml:space="preserve"> </w:t>
      </w:r>
      <w:r>
        <w:rPr>
          <w:rFonts w:ascii="Arial;sans-serif" w:hAnsi="Arial;sans-serif"/>
          <w:b w:val="false"/>
          <w:color w:val="000000"/>
          <w:sz w:val="20"/>
        </w:rPr>
        <w:t>Costs of revenues are related to content costs (which are payments to instructors), payment and mobile processing fees, costs associated with the hosting of digital content, employee-related expenses for the customer support organization, including salaries, benefits, stock-based compensation, facilities and other expenses, depreciation of network equipment, and amortization of capitalized software.</w:t>
      </w:r>
    </w:p>
    <w:p>
      <w:pPr>
        <w:pStyle w:val="TextBody"/>
        <w:bidi w:val="0"/>
        <w:spacing w:lineRule="auto" w:line="288" w:before="120" w:after="283"/>
        <w:jc w:val="left"/>
        <w:rPr/>
      </w:pPr>
      <w:r>
        <w:rPr>
          <w:rFonts w:ascii="Arial;sans-serif" w:hAnsi="Arial;sans-serif"/>
          <w:b/>
          <w:i/>
          <w:color w:val="000000"/>
          <w:sz w:val="20"/>
        </w:rPr>
        <w:t>Advertising and sponsorship costs—</w:t>
      </w:r>
      <w:r>
        <w:rPr>
          <w:color w:val="000000"/>
        </w:rPr>
        <w:t xml:space="preserve"> </w:t>
      </w:r>
      <w:r>
        <w:rPr>
          <w:rFonts w:ascii="Arial;sans-serif" w:hAnsi="Arial;sans-serif"/>
          <w:b w:val="false"/>
          <w:color w:val="000000"/>
          <w:sz w:val="20"/>
        </w:rPr>
        <w:t>Advertising costs are expensed as incurred. In general, sponsorship costs are expensed on a straight-line basis over the contractual sponsorship term. Prepayments made under sponsorship contracts are included in the prepaid expenses and other current assets caption of the consolidated balance sheets. Advertising and sponsorship costs are recorded in sales and marketing expenses in the consolidated statements of operations and was $82.5 million, $97.0 million and $105.2 million for the fiscal years ended December 31, 2023, 2022 and 2021, respectively.</w:t>
      </w:r>
    </w:p>
    <w:p>
      <w:pPr>
        <w:pStyle w:val="TextBody"/>
        <w:bidi w:val="0"/>
        <w:spacing w:lineRule="auto" w:line="288" w:before="120" w:after="283"/>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Research and development costs are expensed as incurred. Research and development expenses include salaries, benefits, stock-based compensation, costs related to the ongoing management, maintenance, and expansion of features and services offered on the Company’s platform. Research and development costs also include contracted services, supplies, and other miscellaneous expenses.</w:t>
      </w:r>
    </w:p>
    <w:p>
      <w:pPr>
        <w:pStyle w:val="TextBody"/>
        <w:bidi w:val="0"/>
        <w:spacing w:lineRule="auto" w:line="288" w:before="120" w:after="283"/>
        <w:jc w:val="left"/>
        <w:rPr/>
      </w:pPr>
      <w:r>
        <w:rPr>
          <w:rFonts w:ascii="Arial;sans-serif" w:hAnsi="Arial;sans-serif"/>
          <w:b/>
          <w:i/>
          <w:color w:val="000000"/>
          <w:sz w:val="20"/>
        </w:rPr>
        <w:t>Stock-based compensation</w:t>
      </w:r>
      <w:r>
        <w:rPr>
          <w:color w:val="000000"/>
        </w:rPr>
        <w:t xml:space="preserve">— </w:t>
      </w:r>
      <w:r>
        <w:rPr>
          <w:rFonts w:ascii="Arial;sans-serif" w:hAnsi="Arial;sans-serif"/>
          <w:b w:val="false"/>
          <w:color w:val="000000"/>
          <w:sz w:val="20"/>
        </w:rPr>
        <w:t xml:space="preserve">The Company accounts for its stock-based compensation pursuant to ASC Topic 718, Compensation-Stock Compensation, which requires the measurement and recognition of stock-based awards using the estimated fair value of the awards on the date of grant. Stock-based awards include stock options, restricted stock units (“RSUs”), performance-based restricted stock units (“PSUs”), stock appreciation rights (“SARs”), and restricted stock granted to employees, directors, and non-employees, and stock purchase rights granted to employees under the Employee Stock Purchase Plan (“ESPP Rights”). No stock options or SARs have been granted since the Company’s initial public offering (“IPO”) in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estimates the fair value of RSUs, PSUs, and restricted stock based on the fair value of the Company’s common stock on the date of grant. The Company estimates the fair value of stock options, SARs, and ESPP Rights using the Black-Scholes option-pricing model, which requires the use of the following subjective and complex assumptions: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Expected term— For stock options and SARs, the Company has elected to use the midpoint of the vesting term and contractual expiration period to compute the expected term, as the Company does not have sufficient historical information to develop reasonable expectations about future exercise patterns and post-vesting employment termination behavior. For ESPP Rights, the expected term is equal to the purchase periods in a given offering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Risk-free interest rate— The risk-free interest rate is based on the U.S. Treasury yield curve in effect at the time of grant for zero-coupon U.S. Treasury notes with maturities approximately equal to the award’s expected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Expected volatility— The Company estimates future expected volatility by considering both the average volatility of a peer group of representative public companies with sufficient trading history and, to the extent available, its historical volatility over the expected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Dividend yield— The expected dividend was assumed to be zero as the Company has never paid dividends and has no current plans to do so.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Stock appreciation rights granted to employees are settled in cash upon exercise. The Company accounts for SARs in the other liabilities, non-current caption in the accompanying consolidated balance sheets. Vested and outstanding SARs are subject to remeasurement at each balance sheet date using the Black-Scholes option-pricing model and the assumptions described above, and any change in fair value is recognized as a component of expense. The Company adjusts the fair value of the liability for vested and outstanding SARs until the earlier of the exercise or expiration of the SARs.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awards with only service-based vesting conditions, the Company recognizes the resulting stock-based compensation on a straight-line basis over the requisite service period of the awards. For awards that are subject to both performance and service-based vesting conditions, the Company separately attributes stock-based compensation expense for each vesting tranche of the award over their requisite service periods. The Company accounts for forfeitures in the period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Management estimates the number of PSUs that are expected to vest based on the anticipated achievement of the specified performance metrics. If the performance-based vesting condition is considered probable of being achieved, the Company recognizes expense over the requisite service period based on the probable outcome of achievement. If the performance goals are not met, or are considered improbable, no compensation cost is recognized, and any previously recognized compensation cost is reversed.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fourth quarter of 2023, the Company's began funding withholding taxes due upon the vesting of employee RSUs and the exercise of stock options in certain jurisdictions by net share settlement, rather than its previous approach of selling shares of the Company’s common stock. The amount of withholding taxes related to net share settlement is reflected as (i) a reduction to additional paid-in-capital and (ii) cash outflows for financing activities when the payments are made. The shares withheld by the Company as a result of net share settlement are returned to the pool of shares available for future issuance. Therefore, they are not considered issued and outstanding and do not impact the calculation of net loss per share, basic and diluted, attributable to common stockholders.</w:t>
      </w:r>
    </w:p>
    <w:p>
      <w:pPr>
        <w:pStyle w:val="TextBody"/>
        <w:bidi w:val="0"/>
        <w:spacing w:lineRule="auto" w:line="288" w:before="120" w:after="283"/>
        <w:jc w:val="left"/>
        <w:rPr/>
      </w:pPr>
      <w:r>
        <w:rPr>
          <w:rFonts w:ascii="Arial;sans-serif" w:hAnsi="Arial;sans-serif"/>
          <w:b/>
          <w:i/>
          <w:color w:val="000000"/>
          <w:sz w:val="20"/>
        </w:rPr>
        <w:t>Income taxes—</w:t>
      </w:r>
      <w:r>
        <w:rPr>
          <w:color w:val="000000"/>
        </w:rPr>
        <w:t xml:space="preserve"> </w:t>
      </w:r>
      <w:r>
        <w:rPr>
          <w:rFonts w:ascii="Arial;sans-serif" w:hAnsi="Arial;sans-serif"/>
          <w:b w:val="false"/>
          <w:color w:val="000000"/>
          <w:sz w:val="20"/>
        </w:rPr>
        <w:t>The Company accounts for income taxes in accordance with ASC 740, Income Taxes (“ASC 740”), which requires an asset and liability approach in accounting for income taxes. Under this method, the tax provision includes taxes currently due plus the net change in deferred tax assets and liabilities.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 received, as provided for under currently enacted tax law. A valuation allowance is provided for the amount of deferred tax assets that, based on available evidence, is not expected to be realized.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ASC 740 prescribes a recognition threshold and measurement attributes for financial statement disclosure of tax positions taken or expected to be taken on a tax return. Under this guidance,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The Company recognizes interest accrued related to uncertain tax positions as a component of the provision for income taxes. There was no accrued interest or penalties associated with any uncertain tax positions, nor was any interest expense recognized during the fiscal years ended December 31, 2023, 2022, or 2021. The Company does not currently anticipate that any significant increase or decrease to uncertain tax positions will be recorded during the next twelve months.</w:t>
      </w:r>
    </w:p>
    <w:p>
      <w:pPr>
        <w:pStyle w:val="TextBody"/>
        <w:bidi w:val="0"/>
        <w:spacing w:lineRule="auto" w:line="288" w:before="120" w:after="283"/>
        <w:jc w:val="left"/>
        <w:rPr/>
      </w:pPr>
      <w:r>
        <w:rPr>
          <w:rFonts w:ascii="Arial;sans-serif" w:hAnsi="Arial;sans-serif"/>
          <w:b/>
          <w:i/>
          <w:color w:val="000000"/>
          <w:sz w:val="20"/>
        </w:rPr>
        <w:t>Translation of foreign currency—</w:t>
      </w:r>
      <w:r>
        <w:rPr>
          <w:color w:val="000000"/>
        </w:rPr>
        <w:t xml:space="preserve"> </w:t>
      </w:r>
      <w:r>
        <w:rPr>
          <w:rFonts w:ascii="Arial;sans-serif" w:hAnsi="Arial;sans-serif"/>
          <w:b w:val="false"/>
          <w:color w:val="000000"/>
          <w:sz w:val="20"/>
        </w:rPr>
        <w:t>The Company’s reporting currency is the U.S. dollar. The Company determines the functional currency for each of its foreign subsidiaries by reviewing their operations and currencies used in their primary economic environments. Assets and liabilities for foreign subsidiaries with functional currency other than U.S. dollar are translated into U.S. dollars at the rate of exchange existing at the balance sheet date. Statements of operations amounts are translated at average exchange rates for the period. Translation gains and losses are recorded in accumulated other comprehensive income (loss) as a component of stockholders’ equity (deficit). Remeasurement gains and losses are included in other income (expense), net in the consolidated statements of operations. Monetary assets and liabilities are remeasured at the exchange rate on the balance sheet date and nonmonetary assets and liabilities are measured at historical exchange rates.</w:t>
      </w:r>
    </w:p>
    <w:p>
      <w:pPr>
        <w:pStyle w:val="TextBody"/>
        <w:bidi w:val="0"/>
        <w:spacing w:lineRule="auto" w:line="288" w:before="120" w:after="283"/>
        <w:jc w:val="left"/>
        <w:rPr/>
      </w:pPr>
      <w:r>
        <w:rPr>
          <w:rFonts w:ascii="Arial;sans-serif" w:hAnsi="Arial;sans-serif"/>
          <w:b/>
          <w:i/>
          <w:color w:val="000000"/>
          <w:sz w:val="20"/>
        </w:rPr>
        <w:t xml:space="preserve">Net loss per share attributable to common stockholders— </w:t>
      </w:r>
      <w:r>
        <w:rPr>
          <w:rFonts w:ascii="Arial;sans-serif" w:hAnsi="Arial;sans-serif"/>
          <w:b w:val="false"/>
          <w:color w:val="000000"/>
          <w:sz w:val="20"/>
        </w:rPr>
        <w:t>Prior to the completion of the Company’s IPO and the conversion of all outstanding preferred shares into common stock, basic and diluted net loss per share attributable to common stockholders was computed in conformity with the two-class method required for participating securities. The Company considered all series of its redeemable convertible preferred stock to be participating securities as the holders of such stock had the right to receive nonforfeitable dividends on a pari passu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stock equivalents to the extent they are dilutive. For purposes of this calculation, common stock options, RSUs, PSUs, restricted stock, and contingently issuable shares under the Company’s ESPP plan are considered to be common stock equivalents but have been excluded from the calculation of diluted net loss per share attributable to common stockholders as their effect is anti-dilutive for the periods presented. For the fiscal year ended December 31, 2021, outstanding redeemable convertible preferred stock and redeemable convertible preferred stock warrants were also considered to be common stock equivalents, but were excluded from the calculation of diluted net loss per share attributable to common stockholders as their effect was anti-dilutive.</w:t>
      </w:r>
    </w:p>
    <w:p>
      <w:pPr>
        <w:pStyle w:val="TextBody"/>
        <w:bidi w:val="0"/>
        <w:spacing w:lineRule="auto" w:line="288" w:before="120" w:after="283"/>
        <w:jc w:val="left"/>
        <w:rPr/>
      </w:pPr>
      <w:r>
        <w:rPr>
          <w:rFonts w:ascii="Arial;sans-serif" w:hAnsi="Arial;sans-serif"/>
          <w:b/>
          <w:i/>
          <w:color w:val="000000"/>
          <w:sz w:val="20"/>
        </w:rPr>
        <w:t xml:space="preserve">Comprehensive loss— </w:t>
      </w:r>
      <w:r>
        <w:rPr>
          <w:rFonts w:ascii="Arial;sans-serif" w:hAnsi="Arial;sans-serif"/>
          <w:b w:val="false"/>
          <w:color w:val="000000"/>
          <w:sz w:val="20"/>
        </w:rPr>
        <w:t xml:space="preserve">Comprehensive loss consists of two components, net loss attributable to common stockholders and other comprehensive income (loss), net of tax. Other comprehensive income (loss), net of tax, refers to revenue, expenses, gains, and losses that under GAAP are recorded as an element of stockholders’ equity (deficit) but are excluded from net loss attributable to common stockholders. The Company’s other comprehensive income (loss) for the fiscal years ended December 31, 2023 and 2022 consisted of changes in unrealized holding gains and losses on available-for-sale securities and foreign currency translation gains and losses. The Company’s other comprehensive loss for the fiscal year ended December 31, 2021 consisted of foreign currency translation losses. </w:t>
      </w:r>
    </w:p>
    <w:p>
      <w:pPr>
        <w:pStyle w:val="TextBody"/>
        <w:bidi w:val="0"/>
        <w:spacing w:lineRule="auto" w:line="288" w:before="120" w:after="283"/>
        <w:jc w:val="left"/>
        <w:rPr/>
      </w:pPr>
      <w:r>
        <w:rPr>
          <w:rFonts w:ascii="Arial;sans-serif" w:hAnsi="Arial;sans-serif"/>
          <w:b/>
          <w:i/>
          <w:color w:val="000000"/>
          <w:sz w:val="20"/>
        </w:rPr>
        <w:t xml:space="preserve">Fair value of financial instruments— </w:t>
      </w:r>
      <w:r>
        <w:rPr>
          <w:rFonts w:ascii="Arial;sans-serif" w:hAnsi="Arial;sans-serif"/>
          <w:b w:val="false"/>
          <w:color w:val="000000"/>
          <w:sz w:val="20"/>
        </w:rPr>
        <w:t>The Company considers fair value as the exchange price that would be received for an asset or paid to transfer a liability, an exit price, in the principal or most advantageous market for the asset or liability in an orderly transaction between market participants at the measurement date. Valuation techniques used to measure fair value are either observable or unobservable. Observable inputs reflect assumptions that market participants would use in pricing an asset or liability based on market data obtained from independent sources, while unobservable inputs reflect a reporting entity’s pricing based on their own market assumptions.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utilizes the following three-level fair value hierarchy to establish the priorities of the inputs used to measure fair value: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Level 1— Unadjusted quoted prices in active markets for identical assets or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Level 2— Inputs are observable, unadjusted quoted prices for similar assets or liabilities in an active market, quoted prices for identical or similar assets or liabilities in markets that are not active, inputs other than quoted prices that are observable and market-corroborated inputs which are derived principally from or corroborated by observable market data;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Level 3— Inputs are derived from valuation techniques in which one or more significant inputs or value drivers are unobservable.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amounts of cash, cash equivalents, restricted cash, accounts receivable, and accounts payable approximate fair value due to the relatively short-term maturities and are classified as current assets and liabilities, as appropriate, in the accompanying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money market funds and sweep account are classified within Level 1 of the fair value hierarchy because they are valued using quoted prices in active markets. The Company’s investments in U.S. government securities are classified within Level 2 of the fair value hierarchy because they have been valued using inputs other than quoted prices in active markets that are directly or indirectly observable. The Company’s strategic investment is classified within Level 3 of the fair value hierarchy because it has been valued using significant unobservable inputs for which the Company has been required to develop its own assumptions.</w:t>
      </w:r>
    </w:p>
    <w:p>
      <w:pPr>
        <w:pStyle w:val="TextBody"/>
        <w:bidi w:val="0"/>
        <w:spacing w:lineRule="auto" w:line="288" w:before="120" w:after="283"/>
        <w:jc w:val="left"/>
        <w:rPr/>
      </w:pPr>
      <w:r>
        <w:rPr>
          <w:rFonts w:ascii="Arial;sans-serif" w:hAnsi="Arial;sans-serif"/>
          <w:b/>
          <w:i/>
          <w:color w:val="000000"/>
          <w:sz w:val="20"/>
        </w:rPr>
        <w:t>Cash and cash equivalents—</w:t>
      </w:r>
      <w:r>
        <w:rPr>
          <w:color w:val="000000"/>
        </w:rPr>
        <w:t xml:space="preserve"> </w:t>
      </w:r>
      <w:r>
        <w:rPr>
          <w:rFonts w:ascii="Arial;sans-serif" w:hAnsi="Arial;sans-serif"/>
          <w:b w:val="false"/>
          <w:color w:val="000000"/>
          <w:sz w:val="20"/>
        </w:rPr>
        <w:t>Cash and cash equivalents include on demand deposits, money market funds, and other highly liquid investments with original or remaining maturities of less than 90 days when purchased. Cash equivalents also include amounts in transit from certain payment processors for credit and debit card transactions, which typically settle within five business days.</w:t>
      </w:r>
    </w:p>
    <w:p>
      <w:pPr>
        <w:pStyle w:val="TextBody"/>
        <w:bidi w:val="0"/>
        <w:spacing w:lineRule="auto" w:line="288" w:before="120" w:after="283"/>
        <w:jc w:val="left"/>
        <w:rPr/>
      </w:pPr>
      <w:r>
        <w:rPr>
          <w:rFonts w:ascii="Arial;sans-serif" w:hAnsi="Arial;sans-serif"/>
          <w:b/>
          <w:i/>
          <w:color w:val="000000"/>
          <w:sz w:val="20"/>
        </w:rPr>
        <w:t>Restricted cash—</w:t>
      </w:r>
      <w:r>
        <w:rPr>
          <w:color w:val="000000"/>
        </w:rPr>
        <w:t xml:space="preserve"> </w:t>
      </w:r>
      <w:r>
        <w:rPr>
          <w:rFonts w:ascii="Arial;sans-serif" w:hAnsi="Arial;sans-serif"/>
          <w:b w:val="false"/>
          <w:color w:val="000000"/>
          <w:sz w:val="20"/>
        </w:rPr>
        <w:t>Restricted cash primarily consists of cash restricted in connection with lease agreements for the Company’s facilities. Restricted cash is included in current assets for leases that expire within one year from the balance sheet date and in non-current assets for leases that expire in more than one year from the balance sheet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Marketable securities—</w:t>
      </w:r>
      <w:r>
        <w:rPr>
          <w:color w:val="000000"/>
        </w:rPr>
        <w:t xml:space="preserve"> </w:t>
      </w:r>
      <w:r>
        <w:rPr>
          <w:rFonts w:ascii="Arial;sans-serif" w:hAnsi="Arial;sans-serif"/>
          <w:b w:val="false"/>
          <w:color w:val="000000"/>
          <w:sz w:val="20"/>
        </w:rPr>
        <w:t>Marketable securities consist of obligations issued by the U.S. Treasury and other U.S. federal agencies, corporate debt, and commercial paper securities, with an original maturity greater than 90 days at the date of purchase and are classified as available-for-sale securities. As the Company views these securities as available to support current operations, it has classified all available-for-sale securities as current assets. Available-for-sale securities are initially recorded at cost and periodically adjusted to fair value with unrealized gains and losses reported as a component of accumulated other comprehensive income (loss) in stockholders’ equity (deficit), while realized gains and losses are reported within other income (expense), net as a component of net loss attributable to common stockholders.</w:t>
      </w:r>
    </w:p>
    <w:p>
      <w:pPr>
        <w:pStyle w:val="TextBody"/>
        <w:bidi w:val="0"/>
        <w:spacing w:lineRule="auto" w:line="288" w:before="120" w:after="283"/>
        <w:jc w:val="both"/>
        <w:rPr/>
      </w:pPr>
      <w:r>
        <w:rPr>
          <w:rFonts w:ascii="Arial;sans-serif" w:hAnsi="Arial;sans-serif"/>
          <w:b/>
          <w:i/>
          <w:color w:val="000000"/>
          <w:sz w:val="20"/>
          <w:shd w:fill="FFFFFF" w:val="clear"/>
        </w:rPr>
        <w:t>Accounts receivable, net</w:t>
      </w:r>
      <w:r>
        <w:rPr>
          <w:color w:val="000000"/>
          <w:shd w:fill="FFFFFF" w:val="clear"/>
        </w:rPr>
        <w:t xml:space="preserve">— </w:t>
      </w:r>
      <w:r>
        <w:rPr>
          <w:rFonts w:ascii="Arial;sans-serif" w:hAnsi="Arial;sans-serif"/>
          <w:b w:val="false"/>
          <w:color w:val="000000"/>
          <w:sz w:val="20"/>
          <w:shd w:fill="FFFFFF" w:val="clear"/>
        </w:rPr>
        <w:t xml:space="preserve">Accounts receivable primarily represent amounts owed to the Company for Enterprise subscriptions. Also included in accounts receivable are amounts due from payment processors or mobile application store partners that settle over a period longer than five business days. Accounts receivable balances are recorded at the invoiced amount and are non-interest-bearing. Accounts receivable is presented net of allowance for credit losses in the accompanying consolidated balance sheets. </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maintains an allowance based upon expected credit losses of outstanding receivables. Management derives its estimate using a variety of factors, including historical collection and loss patterns; the current aging of receivables; geographic and other customer-specific credit risk factors; and reasonable and supportable forecasts of future economic conditions which inform adjustments to historical loss patterns. The provision for expected credit losses is recorded in general and administrative expenses in the accompanying consolidated statements of operations. Accounts receivable deemed to be uncollectible are written off, net of expected or actual recoveries.</w:t>
      </w:r>
    </w:p>
    <w:tbl>
      <w:tblPr>
        <w:tblW w:w="10205" w:type="dxa"/>
        <w:jc w:val="left"/>
        <w:tblInd w:w="0" w:type="dxa"/>
        <w:tblLayout w:type="fixed"/>
        <w:tblCellMar>
          <w:top w:w="28" w:type="dxa"/>
          <w:left w:w="28" w:type="dxa"/>
          <w:bottom w:w="28" w:type="dxa"/>
          <w:right w:w="28" w:type="dxa"/>
        </w:tblCellMar>
      </w:tblPr>
      <w:tblGrid>
        <w:gridCol w:w="806"/>
        <w:gridCol w:w="710"/>
        <w:gridCol w:w="712"/>
        <w:gridCol w:w="396"/>
        <w:gridCol w:w="1129"/>
        <w:gridCol w:w="223"/>
        <w:gridCol w:w="109"/>
        <w:gridCol w:w="109"/>
        <w:gridCol w:w="109"/>
        <w:gridCol w:w="303"/>
        <w:gridCol w:w="862"/>
        <w:gridCol w:w="170"/>
        <w:gridCol w:w="109"/>
        <w:gridCol w:w="109"/>
        <w:gridCol w:w="109"/>
        <w:gridCol w:w="537"/>
        <w:gridCol w:w="1564"/>
        <w:gridCol w:w="300"/>
        <w:gridCol w:w="109"/>
        <w:gridCol w:w="109"/>
        <w:gridCol w:w="109"/>
        <w:gridCol w:w="325"/>
        <w:gridCol w:w="923"/>
        <w:gridCol w:w="264"/>
      </w:tblGrid>
      <w:tr>
        <w:trPr/>
        <w:tc>
          <w:tcPr>
            <w:tcW w:w="8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Charged to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Charges Utilized/Written-off,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 (in thousands)</w:t>
            </w:r>
          </w:p>
        </w:tc>
        <w:tc>
          <w:tcPr>
            <w:tcW w:w="17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Ended December 31, 2023</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Fiscal Year Ended December 31, 2022</w:t>
            </w:r>
          </w:p>
        </w:tc>
        <w:tc>
          <w:tcPr>
            <w:tcW w:w="3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3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Ended December 31, 2021</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i/>
          <w:color w:val="000000"/>
          <w:sz w:val="20"/>
        </w:rPr>
        <w:t>Deferred contract costs—</w:t>
      </w:r>
      <w:r>
        <w:rPr>
          <w:color w:val="000000"/>
        </w:rPr>
        <w:t xml:space="preserve"> </w:t>
      </w:r>
      <w:r>
        <w:rPr>
          <w:rFonts w:ascii="Arial;sans-serif" w:hAnsi="Arial;sans-serif"/>
          <w:b w:val="false"/>
          <w:color w:val="000000"/>
          <w:sz w:val="20"/>
        </w:rPr>
        <w:t>Sales commissions earned by the Company’s sales force on both new and renewal business are considered incremental and recoverable costs of obtaining a contract with a customer. These costs are deferred and then amortized on a straight-line basis over an estimated period of benefit of four years, as commissions paid for initial and renewal contracts are generally not considered commensurate. The Company determined the period of benefit by taking into consideration the length of terms in its Enterprise customer contracts, changes and enhancements in course offerings, and other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a portion of the revenue share retained by enterprise reseller partners from sales to UB customers is considered an incremental and recoverable cost of obtaining a contract with a customer. This cost is deferred and amortized on a straight-line basis over the service term of the corresponding contractual subscription term, as commissions paid to resellers on initial and renewal contracts are generally commensurate.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Amounts expected to be recognized within one year of the consolidated balance sheet dates are recorded as deferred contract costs, current, while the remaining portion is recorded as deferred contract costs, non-current in the consolidated balance sheets. Deferred contract costs are periodically analyzed for impairment. Amortization expense is included in sales and marketing expenses in the accompanying consolidated statements of operations.</w:t>
      </w:r>
    </w:p>
    <w:p>
      <w:pPr>
        <w:pStyle w:val="TextBody"/>
        <w:bidi w:val="0"/>
        <w:spacing w:lineRule="auto" w:line="288" w:before="120" w:after="283"/>
        <w:jc w:val="left"/>
        <w:rPr/>
      </w:pPr>
      <w:r>
        <w:rPr>
          <w:rFonts w:ascii="Arial;sans-serif" w:hAnsi="Arial;sans-serif"/>
          <w:b/>
          <w:i/>
          <w:color w:val="000000"/>
          <w:sz w:val="20"/>
        </w:rPr>
        <w:t>Property and equipment, net—</w:t>
      </w:r>
      <w:r>
        <w:rPr>
          <w:color w:val="000000"/>
        </w:rPr>
        <w:t xml:space="preserve"> </w:t>
      </w:r>
      <w:r>
        <w:rPr>
          <w:rFonts w:ascii="Arial;sans-serif" w:hAnsi="Arial;sans-serif"/>
          <w:b w:val="false"/>
          <w:color w:val="000000"/>
          <w:sz w:val="20"/>
        </w:rPr>
        <w:t>Property, equipment, and purchased software are stated at cost, less accumulated depreciation and amortization. Depreciation is computed using the straight-line method over the estimated useful lives of the respective assets, which are generally three years for computers, purchased software, and equipment,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Capitalized software, net—</w:t>
      </w:r>
      <w:r>
        <w:rPr>
          <w:color w:val="000000"/>
        </w:rPr>
        <w:t xml:space="preserve"> </w:t>
      </w:r>
      <w:r>
        <w:rPr>
          <w:rFonts w:ascii="Arial;sans-serif" w:hAnsi="Arial;sans-serif"/>
          <w:b w:val="false"/>
          <w:color w:val="000000"/>
          <w:sz w:val="20"/>
        </w:rPr>
        <w:t>The Company capitalizes costs to develop software for internal use incurred during the application development stage. Costs related to preliminary project activities and post implementation activities are expensed as incurred. Once an application has reached the development stage, qualifying internal and external costs are capitalized until the software feature is substantially complete and ready for its intended use. Capitalized qualifying costs are amortized on a straight-line basis when the software is ready for its intended use over an estimated useful life, which is generally three years. The Company evaluates the useful lives of these assets and tests for impairment whenever events or changes in circumstances occur that could impact the recoverability of these assets.</w:t>
      </w:r>
    </w:p>
    <w:p>
      <w:pPr>
        <w:pStyle w:val="TextBody"/>
        <w:bidi w:val="0"/>
        <w:spacing w:lineRule="auto" w:line="288" w:before="120" w:after="283"/>
        <w:jc w:val="left"/>
        <w:rPr/>
      </w:pPr>
      <w:r>
        <w:rPr>
          <w:rFonts w:ascii="Arial;sans-serif" w:hAnsi="Arial;sans-serif"/>
          <w:b/>
          <w:i/>
          <w:color w:val="000000"/>
          <w:sz w:val="20"/>
        </w:rPr>
        <w:t>Operating leases—</w:t>
      </w:r>
      <w:r>
        <w:rPr>
          <w:color w:val="000000"/>
        </w:rPr>
        <w:t xml:space="preserve"> </w:t>
      </w:r>
      <w:r>
        <w:rPr>
          <w:rFonts w:ascii="Arial;sans-serif" w:hAnsi="Arial;sans-serif"/>
          <w:b w:val="false"/>
          <w:color w:val="000000"/>
          <w:sz w:val="20"/>
        </w:rPr>
        <w:t>The Company leases real estate facilities under non-cancelable operating leases. The Company determines if an arrangement contains a lease at inception based on whether there is an identified tangible asset and whether the Company controls the use of the identified asset throughout the period of use.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adopted Accounting Standard Update (“ASU”) No. 2016-02, Leases (Topic 842) on January 1,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Operating leases are included in operating lease ROU assets and in operating lease liabilities in the accompanying consolidated balance sheet. Operating lease ROU assets represent the Company’s right to use an underlying asset for the lease term and operating lease liabilities represent the Company’s obligation to make lease payments arising from the lease.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measures its operating lease liabilities at lease commencement date based on the present value of total lease payments over the lease term. Total lease payments are discounted to present value using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using information available at the lease commencement date, including but not limited to credit rating, lease term, and the currency in which the arrangement is denominated. The Company’s operating lease ROU assets are equal to the corresponding operating lease liability, adjusted for payments made to the lessor at or before the commencement date, initial direct costs incurred, and tenant incentives under the lease.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does not assume renewals or early terminations unless it is reasonably certain to exercise these options at commencement. The Company does not allocate consideration between lease and non-lease components. Variable lease payments, such as those for common area maintenance or property taxes, are not included in the measurement of operating lease liabilities and are expensed as incurred. In addition, the Company does not recognize operating ROU assets or operating lease liabilities for leases with a term of 12 months or less for all asset classes. Operating lease expense is recognized on a straight-line basis over the lease term.</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Lease accounting prior to the adoption of Topic 842</w:t>
      </w:r>
    </w:p>
    <w:p>
      <w:pPr>
        <w:pStyle w:val="TextBody"/>
        <w:bidi w:val="0"/>
        <w:spacing w:lineRule="auto" w:line="288" w:before="120" w:after="283"/>
        <w:jc w:val="left"/>
        <w:rPr/>
      </w:pPr>
      <w:r>
        <w:rPr>
          <w:rFonts w:ascii="Arial;sans-serif" w:hAnsi="Arial;sans-serif"/>
          <w:b w:val="false"/>
          <w:color w:val="000000"/>
          <w:sz w:val="20"/>
        </w:rPr>
        <w:t xml:space="preserve">The Company recorded total rent expense on a straight-line basis over the lease term consistent with Topic 840, </w:t>
      </w:r>
      <w:r>
        <w:rPr>
          <w:rFonts w:ascii="Arial;sans-serif" w:hAnsi="Arial;sans-serif"/>
          <w:b w:val="false"/>
          <w:i/>
          <w:color w:val="000000"/>
          <w:sz w:val="20"/>
        </w:rPr>
        <w:t>Leases</w:t>
      </w:r>
      <w:r>
        <w:rPr>
          <w:rFonts w:ascii="Arial;sans-serif" w:hAnsi="Arial;sans-serif"/>
          <w:b w:val="false"/>
          <w:color w:val="000000"/>
          <w:sz w:val="20"/>
        </w:rPr>
        <w:t xml:space="preserve">. </w:t>
      </w:r>
    </w:p>
    <w:p>
      <w:pPr>
        <w:pStyle w:val="TextBody"/>
        <w:bidi w:val="0"/>
        <w:spacing w:lineRule="auto" w:line="288" w:before="120" w:after="283"/>
        <w:jc w:val="left"/>
        <w:rPr/>
      </w:pPr>
      <w:r>
        <w:rPr>
          <w:rFonts w:ascii="Arial;sans-serif" w:hAnsi="Arial;sans-serif"/>
          <w:b/>
          <w:i/>
          <w:color w:val="000000"/>
          <w:sz w:val="20"/>
        </w:rPr>
        <w:t>Strategic investments—</w:t>
      </w:r>
      <w:r>
        <w:rPr>
          <w:color w:val="000000"/>
        </w:rPr>
        <w:t xml:space="preserve"> </w:t>
      </w:r>
      <w:r>
        <w:rPr>
          <w:rFonts w:ascii="Arial;sans-serif" w:hAnsi="Arial;sans-serif"/>
          <w:b w:val="false"/>
          <w:color w:val="000000"/>
          <w:sz w:val="20"/>
        </w:rPr>
        <w:t>The Company holds an investment in equity securities of a privately held company without a readily determinable fair value and in which the Company does not have a controlling interest. Investments in equity securities without readily determinable fair values are initially recorded at cost and are subsequently adjusted to fair value only in the event of either price changes from observable transactions in the same or a similar security from the same issuer or impairment, as discussed below. This practice is referred to as the measurement alternative.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Privately held equity securities are valued using significant unobservable inputs or data in inactive markets. This valuation requires judgment due to the absence of market prices and inherent lack of liquidity and are classified as Level 3 in the fair value hierarchy. In determining the estimated fair value of investments in privately held companies, the Company utilizes the most recent data available including observed transactions, such as equity financing transactions of the investees and sales of the existing shares of the investees’ securities. In addition, the determination of whether an observed transaction is similar to the equity securities held by the Company requires significant management judgment based on the rights and preferences of the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evaluates its strategic investment for impairment at each reporting period. This evaluation consists of several potential qualitative and quantitative impairment indicators including, but not limited to, the investee's financial metrics, whether there were any significant adverse changes in the economic environment or general market conditions of the geographies and industries in which the investee operates, and any other publicly available information that may affect the value of the investment. Based on assessments performed during the fiscal years ended December 31, 2023 and 2022, the Company recognized impairment losses of $1.8 million and $2.9 million, respectively, which are recorded in other income (expense), net in the accompanying consolidated statements of operations. No impairment losses were recorded in the fiscal year ended December 31, 2021. </w:t>
      </w:r>
    </w:p>
    <w:p>
      <w:pPr>
        <w:pStyle w:val="TextBody"/>
        <w:bidi w:val="0"/>
        <w:spacing w:lineRule="auto" w:line="288" w:before="120" w:after="283"/>
        <w:jc w:val="left"/>
        <w:rPr/>
      </w:pPr>
      <w:r>
        <w:rPr>
          <w:rFonts w:ascii="Arial;sans-serif" w:hAnsi="Arial;sans-serif"/>
          <w:b/>
          <w:i/>
          <w:color w:val="000000"/>
          <w:sz w:val="20"/>
        </w:rPr>
        <w:t>Goodwill and intangible assets—</w:t>
      </w:r>
      <w:r>
        <w:rPr>
          <w:color w:val="000000"/>
        </w:rPr>
        <w:t xml:space="preserve"> </w:t>
      </w:r>
      <w:r>
        <w:rPr>
          <w:rFonts w:ascii="Arial;sans-serif" w:hAnsi="Arial;sans-serif"/>
          <w:b w:val="false"/>
          <w:color w:val="000000"/>
          <w:sz w:val="20"/>
        </w:rPr>
        <w:t>Intangible assets are amortized over their estimated useful lives. Each period, the Company evaluates the estimated remaining useful life of its intangible assets and whether events or changes in circumstances warrant a revision to the remaining period of amortization. Management tests for impairment whenever events or changes in circumstances occur that could impact the recoverability of these assets. No such triggering events were noted for the fiscal years ended December 31, 2023, 2022, or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Goodwill represents the excess purchase price over net assets acquired in the Company’s business combinations. The Company evaluates and tests the recoverability of its goodwill for impairment at least annually, during the fourth quarter of each fiscal year, or more often if and when circumstances indicate that goodwill may not be recoverable. No impairments were recorded during the fiscal years ended December 31, 2023, 2022, or 2021 as the result of these assessments.</w:t>
      </w:r>
    </w:p>
    <w:p>
      <w:pPr>
        <w:pStyle w:val="TextBody"/>
        <w:bidi w:val="0"/>
        <w:spacing w:lineRule="auto" w:line="288" w:before="120" w:after="283"/>
        <w:jc w:val="left"/>
        <w:rPr/>
      </w:pPr>
      <w:r>
        <w:rPr>
          <w:rFonts w:ascii="Arial;sans-serif" w:hAnsi="Arial;sans-serif"/>
          <w:b/>
          <w:i/>
          <w:color w:val="000000"/>
          <w:sz w:val="20"/>
        </w:rPr>
        <w:t>Impairment of long-lived assets—</w:t>
      </w:r>
      <w:r>
        <w:rPr>
          <w:color w:val="000000"/>
        </w:rPr>
        <w:t xml:space="preserve"> </w:t>
      </w:r>
      <w:r>
        <w:rPr>
          <w:rFonts w:ascii="Arial;sans-serif" w:hAnsi="Arial;sans-serif"/>
          <w:b w:val="false"/>
          <w:color w:val="000000"/>
          <w:sz w:val="20"/>
        </w:rPr>
        <w:t>The Company evaluates the carrying value of long-lived assets, such as property and equipment, whenever events or changes in circumstances indicate that the carrying value of the asset may not be recoverable. An impairment loss is recognized when estimated undiscounted future cash flows expected to result from the use of the asset, including disposition, are less than the carrying value of the asset. The impairment to be recognized is measured by the amount by which the carrying amount exceeds the fair value of the assets. The Company did not identify any impairment losses on long-lived assets for the fiscal years ended December 31, 2023, 2022, or 2021.</w:t>
      </w:r>
    </w:p>
    <w:p>
      <w:pPr>
        <w:pStyle w:val="TextBody"/>
        <w:bidi w:val="0"/>
        <w:spacing w:lineRule="auto" w:line="288" w:before="120" w:after="283"/>
        <w:jc w:val="left"/>
        <w:rPr/>
      </w:pPr>
      <w:r>
        <w:rPr>
          <w:rFonts w:ascii="Arial;sans-serif" w:hAnsi="Arial;sans-serif"/>
          <w:b/>
          <w:i/>
          <w:color w:val="000000"/>
          <w:sz w:val="20"/>
        </w:rPr>
        <w:t>Self-insurance</w:t>
      </w:r>
      <w:r>
        <w:rPr>
          <w:color w:val="000000"/>
        </w:rPr>
        <w:t xml:space="preserve">— </w:t>
      </w:r>
      <w:r>
        <w:rPr>
          <w:rFonts w:ascii="Arial;sans-serif" w:hAnsi="Arial;sans-serif"/>
          <w:b w:val="false"/>
          <w:color w:val="000000"/>
          <w:sz w:val="20"/>
        </w:rPr>
        <w:t>The Company is self-insured for medical benefits offered to certain employees, up to certain stop-loss limits. Such costs are accrued based on known claims and estimates of incurred but not reported (“IBNR”) claims. IBNR claims are estimated using historical claim information and actuarial estimates. As of December 31, 2023, the accrued liability for self-insurance totaled $1.3 million and is included in accrued compensation and benefits on the consolidated balance sheets. The Company was not self-insured as of or prior to December 31, 2022.</w:t>
      </w:r>
    </w:p>
    <w:p>
      <w:pPr>
        <w:pStyle w:val="TextBody"/>
        <w:bidi w:val="0"/>
        <w:spacing w:lineRule="auto" w:line="288" w:before="200" w:after="283"/>
        <w:jc w:val="left"/>
        <w:rPr/>
      </w:pPr>
      <w:r>
        <w:rPr>
          <w:rFonts w:ascii="Arial;sans-serif" w:hAnsi="Arial;sans-serif"/>
          <w:b/>
          <w:i/>
          <w:color w:val="000000"/>
          <w:sz w:val="20"/>
        </w:rPr>
        <w:t>Business combinations—</w:t>
      </w:r>
      <w:r>
        <w:rPr>
          <w:color w:val="000000"/>
        </w:rPr>
        <w:t xml:space="preserve"> </w:t>
      </w:r>
      <w:r>
        <w:rPr>
          <w:rFonts w:ascii="Arial;sans-serif" w:hAnsi="Arial;sans-serif"/>
          <w:b w:val="false"/>
          <w:color w:val="000000"/>
          <w:sz w:val="20"/>
        </w:rPr>
        <w:t>In accordance with applicable accounting standards, the Company estimates the fair value of acquired assets and assumed liabilities as of the acquisition date of business combinations. The purchase consideration is allocated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relationships and developed technology, costs to recreate acquired vendor relationships, royalty rates, and discount rates.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estimates are inherently uncertain and subject to revision as additional information is obtained during the measurement period for an acquisition, which may last up to one year from the acquisition date. During the measurement period, management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Recently Adopted Accounting Pronouncements Adopted in 2023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There are no recently issued accounting pronouncements that were adopted by the Company during the fiscal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Recently Issued Accounting Pronouncements Not Yet Adopted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November 2023, the FASB issued ASU 2023-07, Segment Reporting (Topic 280): Improvements to Reportable Segment Disclosures, which aims to improve reportable segment disclosure requirements, primarily through additional disclosures about significant segment expenses and the chief operating decision maker. The standard will become effective for the Company’s fiscal year ended December 31, 2024, and interim periods during the fiscal year ended December 31, 2025, with early adoption permitted. The amendments should be applied retrospectively to all prior periods presented in the financial statements. The Company is currently assessing the potential impact of the new standard on the Company’s consolidated financial statements.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is currently assessing the potential impact of the new standard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Arial;sans-serif" w:hAnsi="Arial;sans-serif"/>
          <w:b/>
          <w:color w:val="000000"/>
          <w:sz w:val="24"/>
          <w:shd w:fill="FFFFFF" w:val="clear"/>
        </w:rPr>
      </w:pPr>
      <w:r>
        <w:rPr>
          <w:rFonts w:ascii="Arial;sans-serif" w:hAnsi="Arial;sans-serif"/>
          <w:b/>
          <w:color w:val="000000"/>
          <w:sz w:val="24"/>
          <w:shd w:fill="FFFFFF" w:val="clear"/>
        </w:rPr>
        <w:t>3. Revenue recognition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Deferred revenue</w:t>
      </w:r>
      <w:r>
        <w:rPr>
          <w:color w:val="000000"/>
          <w:shd w:fill="FFFFFF" w:val="clear"/>
        </w:rPr>
        <w:t>—</w:t>
      </w:r>
      <w:r>
        <w:rPr>
          <w:rFonts w:ascii="Arial;sans-serif" w:hAnsi="Arial;sans-serif"/>
          <w:b w:val="false"/>
          <w:color w:val="000000"/>
          <w:sz w:val="20"/>
        </w:rPr>
        <w:t>Revenue recognized for the fiscal year ended December 31, 2023, from amounts included in deferred revenue as of December 31, 2022 was $268.3 million. Revenue recognized for the fiscal year ended December 31, 2022, from amounts included in deferred</w:t>
      </w:r>
      <w:r>
        <w:rPr>
          <w:color w:val="000000"/>
          <w:shd w:fill="FFFFFF" w:val="clear"/>
        </w:rPr>
        <w:t xml:space="preserve"> </w:t>
      </w:r>
      <w:r>
        <w:rPr>
          <w:rFonts w:ascii="Arial;sans-serif" w:hAnsi="Arial;sans-serif"/>
          <w:b w:val="false"/>
          <w:color w:val="000000"/>
          <w:sz w:val="20"/>
          <w:shd w:fill="FFFFFF" w:val="clear"/>
        </w:rPr>
        <w:t>revenue as of December 31, 2021</w:t>
      </w:r>
      <w:r>
        <w:rPr>
          <w:color w:val="000000"/>
        </w:rPr>
        <w:t xml:space="preserve"> </w:t>
      </w:r>
      <w:r>
        <w:rPr>
          <w:rFonts w:ascii="Arial;sans-serif" w:hAnsi="Arial;sans-serif"/>
          <w:b w:val="false"/>
          <w:color w:val="000000"/>
          <w:sz w:val="20"/>
        </w:rPr>
        <w:t xml:space="preserve">was $204.4 million. Revenue recognized for the fiscal year ended December 31, 2021, from amounts included in deferred revenue as of December 31, 2020 was $139.5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below table presents a summary of deferred revenue balances by reportable segment (in thousands):</w:t>
      </w:r>
    </w:p>
    <w:tbl>
      <w:tblPr>
        <w:tblW w:w="7578" w:type="dxa"/>
        <w:jc w:val="left"/>
        <w:tblInd w:w="0" w:type="dxa"/>
        <w:tblLayout w:type="fixed"/>
        <w:tblCellMar>
          <w:top w:w="28" w:type="dxa"/>
          <w:left w:w="28" w:type="dxa"/>
          <w:bottom w:w="28" w:type="dxa"/>
          <w:right w:w="28" w:type="dxa"/>
        </w:tblCellMar>
      </w:tblPr>
      <w:tblGrid>
        <w:gridCol w:w="646"/>
        <w:gridCol w:w="568"/>
        <w:gridCol w:w="571"/>
        <w:gridCol w:w="220"/>
        <w:gridCol w:w="827"/>
        <w:gridCol w:w="122"/>
        <w:gridCol w:w="109"/>
        <w:gridCol w:w="109"/>
        <w:gridCol w:w="109"/>
        <w:gridCol w:w="228"/>
        <w:gridCol w:w="859"/>
        <w:gridCol w:w="127"/>
        <w:gridCol w:w="109"/>
        <w:gridCol w:w="109"/>
        <w:gridCol w:w="109"/>
        <w:gridCol w:w="228"/>
        <w:gridCol w:w="859"/>
        <w:gridCol w:w="127"/>
        <w:gridCol w:w="109"/>
        <w:gridCol w:w="109"/>
        <w:gridCol w:w="109"/>
        <w:gridCol w:w="219"/>
        <w:gridCol w:w="824"/>
        <w:gridCol w:w="17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1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220,127 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219,030 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84,241 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62,287 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59,249 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61,588 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58,135 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revenue</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282,414 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278,279 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210,554 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142,376 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Remaining performance obligations</w:t>
      </w:r>
      <w:r>
        <w:rPr>
          <w:color w:val="000000"/>
          <w:shd w:fill="FFFFFF" w:val="clear"/>
        </w:rPr>
        <w:t xml:space="preserve">— </w:t>
      </w:r>
      <w:r>
        <w:rPr>
          <w:rFonts w:ascii="Arial;sans-serif" w:hAnsi="Arial;sans-serif"/>
          <w:b w:val="false"/>
          <w:color w:val="000000"/>
          <w:sz w:val="20"/>
          <w:shd w:fill="FFFFFF" w:val="clear"/>
        </w:rPr>
        <w:t>Remaining performance obligations represent the aggregate amount of the transaction price in contracts for performance obligations not delivered, or partially undelivered, as of the end of the reporting period. Remaining performance obligations primarily relate to deferred revenue as well as unbilled revenue from multi-year Enterprise subscription contracts with future installment payments, as well as unearned revenue from Consumer single course purchases and subscriptions at the end of any given period. As of December 31, 2023</w:t>
      </w:r>
      <w:r>
        <w:rPr>
          <w:rFonts w:ascii="Arial;sans-serif" w:hAnsi="Arial;sans-serif"/>
          <w:b w:val="false"/>
          <w:color w:val="000000"/>
          <w:sz w:val="20"/>
        </w:rPr>
        <w:t>, the aggregate transaction price for remaining performance obligations was $552.3 million, of which 70% is expected to be recognized over the next twelve months and the remainder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Deferred contract costs</w:t>
      </w:r>
      <w:r>
        <w:rPr>
          <w:color w:val="000000"/>
          <w:shd w:fill="FFFFFF" w:val="clear"/>
        </w:rPr>
        <w:t xml:space="preserve">— </w:t>
      </w:r>
      <w:r>
        <w:rPr>
          <w:rFonts w:ascii="Arial;sans-serif" w:hAnsi="Arial;sans-serif"/>
          <w:b w:val="false"/>
          <w:color w:val="000000"/>
          <w:sz w:val="20"/>
          <w:shd w:fill="FFFFFF" w:val="clear"/>
        </w:rPr>
        <w:t>The following table represents a roll forward of the Company’s deferred contract costs (in thousands):</w:t>
      </w:r>
    </w:p>
    <w:tbl>
      <w:tblPr>
        <w:tblW w:w="10205" w:type="dxa"/>
        <w:jc w:val="left"/>
        <w:tblInd w:w="0" w:type="dxa"/>
        <w:tblLayout w:type="fixed"/>
        <w:tblCellMar>
          <w:top w:w="28" w:type="dxa"/>
          <w:left w:w="28" w:type="dxa"/>
          <w:bottom w:w="28" w:type="dxa"/>
          <w:right w:w="28" w:type="dxa"/>
        </w:tblCellMar>
      </w:tblPr>
      <w:tblGrid>
        <w:gridCol w:w="903"/>
        <w:gridCol w:w="794"/>
        <w:gridCol w:w="796"/>
        <w:gridCol w:w="455"/>
        <w:gridCol w:w="1505"/>
        <w:gridCol w:w="253"/>
        <w:gridCol w:w="109"/>
        <w:gridCol w:w="109"/>
        <w:gridCol w:w="109"/>
        <w:gridCol w:w="196"/>
        <w:gridCol w:w="646"/>
        <w:gridCol w:w="109"/>
        <w:gridCol w:w="109"/>
        <w:gridCol w:w="109"/>
        <w:gridCol w:w="109"/>
        <w:gridCol w:w="344"/>
        <w:gridCol w:w="1165"/>
        <w:gridCol w:w="194"/>
        <w:gridCol w:w="109"/>
        <w:gridCol w:w="109"/>
        <w:gridCol w:w="109"/>
        <w:gridCol w:w="365"/>
        <w:gridCol w:w="1206"/>
        <w:gridCol w:w="293"/>
      </w:tblGrid>
      <w:tr>
        <w:trPr/>
        <w:tc>
          <w:tcPr>
            <w:tcW w:w="9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End of Period</w:t>
            </w:r>
          </w:p>
        </w:tc>
      </w:tr>
      <w:tr>
        <w:trPr/>
        <w:tc>
          <w:tcPr>
            <w:tcW w:w="24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Ended December 31, 2023</w:t>
            </w:r>
          </w:p>
        </w:tc>
        <w:tc>
          <w:tcPr>
            <w:tcW w:w="4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65,645 </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(48,161)</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74,374 </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Ended December 31, 2022</w:t>
            </w:r>
          </w:p>
        </w:tc>
        <w:tc>
          <w:tcPr>
            <w:tcW w:w="4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44,545 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(32,279)</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Fiscal Year Ended December 31, 2021</w:t>
            </w:r>
          </w:p>
        </w:tc>
        <w:tc>
          <w:tcPr>
            <w:tcW w:w="4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25,837 </w:t>
            </w:r>
          </w:p>
        </w:tc>
        <w:tc>
          <w:tcPr>
            <w:tcW w:w="2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(17,801)</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44,545 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4. Investments and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Company’s assets and liabilities that are measured at fair value on a recurring or nonrecurring basis within the fair value hierarchy are as follows (in thousands): </w:t>
      </w:r>
    </w:p>
    <w:p>
      <w:pPr>
        <w:pStyle w:val="TextBody"/>
        <w:bidi w:val="0"/>
        <w:spacing w:before="0" w:after="0"/>
        <w:jc w:val="left"/>
        <w:rPr/>
      </w:pPr>
      <w:r>
        <w:rPr/>
      </w:r>
    </w:p>
    <w:tbl>
      <w:tblPr>
        <w:tblW w:w="6924" w:type="dxa"/>
        <w:jc w:val="left"/>
        <w:tblInd w:w="0" w:type="dxa"/>
        <w:tblLayout w:type="fixed"/>
        <w:tblCellMar>
          <w:top w:w="28" w:type="dxa"/>
          <w:left w:w="28" w:type="dxa"/>
          <w:bottom w:w="28" w:type="dxa"/>
          <w:right w:w="28" w:type="dxa"/>
        </w:tblCellMar>
      </w:tblPr>
      <w:tblGrid>
        <w:gridCol w:w="1039"/>
        <w:gridCol w:w="910"/>
        <w:gridCol w:w="916"/>
        <w:gridCol w:w="109"/>
        <w:gridCol w:w="109"/>
        <w:gridCol w:w="109"/>
        <w:gridCol w:w="196"/>
        <w:gridCol w:w="736"/>
        <w:gridCol w:w="109"/>
        <w:gridCol w:w="109"/>
        <w:gridCol w:w="109"/>
        <w:gridCol w:w="109"/>
        <w:gridCol w:w="196"/>
        <w:gridCol w:w="736"/>
        <w:gridCol w:w="109"/>
        <w:gridCol w:w="109"/>
        <w:gridCol w:w="109"/>
        <w:gridCol w:w="109"/>
        <w:gridCol w:w="196"/>
        <w:gridCol w:w="64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Strategic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settled stock appreciation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924" w:type="dxa"/>
        <w:jc w:val="left"/>
        <w:tblInd w:w="0" w:type="dxa"/>
        <w:tblLayout w:type="fixed"/>
        <w:tblCellMar>
          <w:top w:w="28" w:type="dxa"/>
          <w:left w:w="28" w:type="dxa"/>
          <w:bottom w:w="28" w:type="dxa"/>
          <w:right w:w="28" w:type="dxa"/>
        </w:tblCellMar>
      </w:tblPr>
      <w:tblGrid>
        <w:gridCol w:w="1039"/>
        <w:gridCol w:w="910"/>
        <w:gridCol w:w="916"/>
        <w:gridCol w:w="109"/>
        <w:gridCol w:w="109"/>
        <w:gridCol w:w="109"/>
        <w:gridCol w:w="196"/>
        <w:gridCol w:w="736"/>
        <w:gridCol w:w="109"/>
        <w:gridCol w:w="109"/>
        <w:gridCol w:w="109"/>
        <w:gridCol w:w="109"/>
        <w:gridCol w:w="196"/>
        <w:gridCol w:w="736"/>
        <w:gridCol w:w="109"/>
        <w:gridCol w:w="109"/>
        <w:gridCol w:w="109"/>
        <w:gridCol w:w="109"/>
        <w:gridCol w:w="196"/>
        <w:gridCol w:w="64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Strategic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settled stock appreciation rights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54"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the changes in the fair value of Level 3 financial instruments, of which remeasurement of SARs and impairment of strategic investments are recognized in the consolidated statements of operations, is as follows (in thousands):</w:t>
      </w:r>
    </w:p>
    <w:p>
      <w:pPr>
        <w:pStyle w:val="TextBody"/>
        <w:bidi w:val="0"/>
        <w:spacing w:before="0" w:after="0"/>
        <w:jc w:val="left"/>
        <w:rPr/>
      </w:pPr>
      <w:r>
        <w:rPr/>
      </w:r>
    </w:p>
    <w:tbl>
      <w:tblPr>
        <w:tblW w:w="10073" w:type="dxa"/>
        <w:jc w:val="left"/>
        <w:tblInd w:w="0" w:type="dxa"/>
        <w:tblLayout w:type="fixed"/>
        <w:tblCellMar>
          <w:top w:w="28" w:type="dxa"/>
          <w:left w:w="28" w:type="dxa"/>
          <w:bottom w:w="28" w:type="dxa"/>
          <w:right w:w="28" w:type="dxa"/>
        </w:tblCellMar>
      </w:tblPr>
      <w:tblGrid>
        <w:gridCol w:w="1644"/>
        <w:gridCol w:w="1445"/>
        <w:gridCol w:w="1455"/>
        <w:gridCol w:w="218"/>
        <w:gridCol w:w="470"/>
        <w:gridCol w:w="123"/>
        <w:gridCol w:w="109"/>
        <w:gridCol w:w="109"/>
        <w:gridCol w:w="109"/>
        <w:gridCol w:w="589"/>
        <w:gridCol w:w="1268"/>
        <w:gridCol w:w="332"/>
        <w:gridCol w:w="109"/>
        <w:gridCol w:w="109"/>
        <w:gridCol w:w="109"/>
        <w:gridCol w:w="368"/>
        <w:gridCol w:w="1216"/>
        <w:gridCol w:w="291"/>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Appreciation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Strategic Investments</w:t>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December 31, 2020</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redeemable convertible preferred stock warrants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Vesting and remeasurement of SARs, net of exercises</w:t>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strategic investments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December 31, 2021</w:t>
            </w:r>
          </w:p>
        </w:tc>
        <w:tc>
          <w:tcPr>
            <w:tcW w:w="6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3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and remeasurement of SARs, net of exercises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strategic investments</w:t>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liability to equity upon exchange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strategic investments</w:t>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December 31, 2022</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12,104 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and remeasurement of SARs</w:t>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Exercises of SARs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strategic investments</w:t>
            </w:r>
          </w:p>
        </w:tc>
        <w:tc>
          <w:tcPr>
            <w:tcW w:w="6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w:t>
            </w:r>
          </w:p>
        </w:tc>
        <w:tc>
          <w:tcPr>
            <w:tcW w:w="2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10,311 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fiscal year ended December 31, 2021, the remaining outstanding 12,595 warrants to purchase Series A-1 redeemable convertible preferred stock were exercised for an immaterial amount of cash proceeds at an exercise price of $0.196 per share. The Company reclassified the $0.2 million fair value of the warrants into Series A-1 redeemable convertible preferred stock on the consolidated balance sheet. The change in fair value of the warrants during fiscal year ended December 31, 2021 was immaterial.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evaluates its strategic investments for impairment at each reporting period. This evaluation consists of several potential qualitative and quantitative impairment indicators including, but not limited to, the investee's financial metrics, whether there were any significant adverse changes in the economic environment or general market conditions of the geographies and industries in which the investee operates, and any other publicly available information that may affect the value of the investment. The Company determined impairment indicators existed as of June 30, 2023, and the fair value of its strategic investments was less than their carrying value. There were no other remeasurement events for the Company's strategic investments for the remainder of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difference between the strategic investment’s cost basis of $15.0 million and the carrying value of $10.3 million is due to cumulative impairment charges of $4.7 million, of which $1.8 million was recorded during the second quarter of 2023, and $2.9 million was recorded during the third quarter of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4"/>
          <w:shd w:fill="FFFFFF" w:val="clear"/>
        </w:rPr>
      </w:pPr>
      <w:r>
        <w:rPr>
          <w:rFonts w:ascii="Arial;sans-serif" w:hAnsi="Arial;sans-serif"/>
          <w:b/>
          <w:color w:val="000000"/>
          <w:sz w:val="24"/>
          <w:shd w:fill="FFFFFF" w:val="clear"/>
        </w:rPr>
        <w:t>5. Consolidated balance sheet components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Cash, cash equivalents, and marketable securities</w:t>
      </w:r>
      <w:r>
        <w:rPr>
          <w:color w:val="000000"/>
        </w:rPr>
        <w:t xml:space="preserve">— </w:t>
      </w:r>
      <w:r>
        <w:rPr>
          <w:rFonts w:ascii="Arial;sans-serif" w:hAnsi="Arial;sans-serif"/>
          <w:b w:val="false"/>
          <w:color w:val="000000"/>
          <w:sz w:val="20"/>
        </w:rPr>
        <w:t xml:space="preserve">The amortized cost, unrealized gains and losses, and estimated fair value of cash, cash equivalents, and marketable securities consisted of the following (in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3"/>
        <w:gridCol w:w="1168"/>
        <w:gridCol w:w="1177"/>
        <w:gridCol w:w="109"/>
        <w:gridCol w:w="109"/>
        <w:gridCol w:w="109"/>
        <w:gridCol w:w="244"/>
        <w:gridCol w:w="919"/>
        <w:gridCol w:w="135"/>
        <w:gridCol w:w="109"/>
        <w:gridCol w:w="109"/>
        <w:gridCol w:w="109"/>
        <w:gridCol w:w="377"/>
        <w:gridCol w:w="783"/>
        <w:gridCol w:w="211"/>
        <w:gridCol w:w="109"/>
        <w:gridCol w:w="109"/>
        <w:gridCol w:w="109"/>
        <w:gridCol w:w="401"/>
        <w:gridCol w:w="833"/>
        <w:gridCol w:w="224"/>
        <w:gridCol w:w="109"/>
        <w:gridCol w:w="109"/>
        <w:gridCol w:w="109"/>
        <w:gridCol w:w="196"/>
        <w:gridCol w:w="736"/>
        <w:gridCol w:w="160"/>
      </w:tblGrid>
      <w:tr>
        <w:trPr/>
        <w:tc>
          <w:tcPr>
            <w:tcW w:w="1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266,692 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266,692 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305,564 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305,564 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marketable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476,860 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476,936 </w:t>
            </w:r>
          </w:p>
        </w:tc>
        <w:tc>
          <w:tcPr>
            <w:tcW w:w="1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33"/>
        <w:gridCol w:w="1168"/>
        <w:gridCol w:w="1177"/>
        <w:gridCol w:w="109"/>
        <w:gridCol w:w="109"/>
        <w:gridCol w:w="109"/>
        <w:gridCol w:w="244"/>
        <w:gridCol w:w="919"/>
        <w:gridCol w:w="135"/>
        <w:gridCol w:w="109"/>
        <w:gridCol w:w="109"/>
        <w:gridCol w:w="109"/>
        <w:gridCol w:w="377"/>
        <w:gridCol w:w="783"/>
        <w:gridCol w:w="211"/>
        <w:gridCol w:w="109"/>
        <w:gridCol w:w="109"/>
        <w:gridCol w:w="109"/>
        <w:gridCol w:w="385"/>
        <w:gridCol w:w="857"/>
        <w:gridCol w:w="216"/>
        <w:gridCol w:w="109"/>
        <w:gridCol w:w="109"/>
        <w:gridCol w:w="109"/>
        <w:gridCol w:w="196"/>
        <w:gridCol w:w="736"/>
        <w:gridCol w:w="160"/>
      </w:tblGrid>
      <w:tr>
        <w:trPr/>
        <w:tc>
          <w:tcPr>
            <w:tcW w:w="1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134,408 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130,377 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130,377 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313,684 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313,685 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151,900 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151,687 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465,584 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465,372 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equivalents and marketable securities in an unrealized loss position consisted of the following (in thousands):</w:t>
      </w:r>
    </w:p>
    <w:tbl>
      <w:tblPr>
        <w:tblW w:w="10205" w:type="dxa"/>
        <w:jc w:val="left"/>
        <w:tblInd w:w="0" w:type="dxa"/>
        <w:tblLayout w:type="fixed"/>
        <w:tblCellMar>
          <w:top w:w="28" w:type="dxa"/>
          <w:left w:w="28" w:type="dxa"/>
          <w:bottom w:w="28" w:type="dxa"/>
          <w:right w:w="28" w:type="dxa"/>
        </w:tblCellMar>
      </w:tblPr>
      <w:tblGrid>
        <w:gridCol w:w="1183"/>
        <w:gridCol w:w="1039"/>
        <w:gridCol w:w="1046"/>
        <w:gridCol w:w="242"/>
        <w:gridCol w:w="501"/>
        <w:gridCol w:w="134"/>
        <w:gridCol w:w="109"/>
        <w:gridCol w:w="109"/>
        <w:gridCol w:w="109"/>
        <w:gridCol w:w="560"/>
        <w:gridCol w:w="1165"/>
        <w:gridCol w:w="314"/>
        <w:gridCol w:w="109"/>
        <w:gridCol w:w="109"/>
        <w:gridCol w:w="109"/>
        <w:gridCol w:w="196"/>
        <w:gridCol w:w="646"/>
        <w:gridCol w:w="109"/>
        <w:gridCol w:w="109"/>
        <w:gridCol w:w="109"/>
        <w:gridCol w:w="109"/>
        <w:gridCol w:w="520"/>
        <w:gridCol w:w="1155"/>
        <w:gridCol w:w="41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r>
      <w:tr>
        <w:trPr/>
        <w:tc>
          <w:tcPr>
            <w:tcW w:w="3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8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securities</w:t>
            </w:r>
          </w:p>
        </w:tc>
        <w:tc>
          <w:tcPr>
            <w:tcW w:w="74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securities in an unrealized loss position</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Realized gains and losses reclassified from accumulated other comprehensive loss to other income (expense), net were zero for the fiscal years ended December 31, 2023 and 2022. The Company did not hold any marketable securities during the fiscal year ended December 31,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 securities had been in a continuous unrealized loss position for twelve months or longer as of December 31, 2023 or December 31, 2022. The Company does not intend to sell available-for-sale marketable debt securities in unrealized loss positions, and it is more likely than not that the Company will hold these securities until maturity or recovery of the cost basis. As of December 31, 2023 and December 31, 2022, the Company did not have an allowance for credit losses related to its available-for-sale debt securities due to a zero loss expectation for the portfolio which consists solely of U.S. government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of December 31, 2023, the entirety of the Company’s marketable securities portfolio had remaining contractual maturities of one year or less.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shd w:fill="FFFFFF" w:val="clear"/>
        </w:rPr>
        <w:t>Property and equipment, net</w:t>
      </w:r>
      <w:r>
        <w:rPr>
          <w:color w:val="000000"/>
          <w:shd w:fill="FFFFFF" w:val="clear"/>
        </w:rPr>
        <w:t xml:space="preserve">— </w:t>
      </w:r>
      <w:r>
        <w:rPr>
          <w:rFonts w:ascii="Arial;sans-serif" w:hAnsi="Arial;sans-serif"/>
          <w:b w:val="false"/>
          <w:color w:val="000000"/>
          <w:sz w:val="20"/>
          <w:shd w:fill="FFFFFF" w:val="clear"/>
        </w:rPr>
        <w:t>Property and equipment, net consisted of the following (in thousands):</w:t>
      </w:r>
    </w:p>
    <w:tbl>
      <w:tblPr>
        <w:tblW w:w="6712" w:type="dxa"/>
        <w:jc w:val="left"/>
        <w:tblInd w:w="0" w:type="dxa"/>
        <w:tblLayout w:type="fixed"/>
        <w:tblCellMar>
          <w:top w:w="28" w:type="dxa"/>
          <w:left w:w="28" w:type="dxa"/>
          <w:bottom w:w="28" w:type="dxa"/>
          <w:right w:w="28" w:type="dxa"/>
        </w:tblCellMar>
      </w:tblPr>
      <w:tblGrid>
        <w:gridCol w:w="1315"/>
        <w:gridCol w:w="1155"/>
        <w:gridCol w:w="1159"/>
        <w:gridCol w:w="109"/>
        <w:gridCol w:w="109"/>
        <w:gridCol w:w="109"/>
        <w:gridCol w:w="241"/>
        <w:gridCol w:w="795"/>
        <w:gridCol w:w="134"/>
        <w:gridCol w:w="109"/>
        <w:gridCol w:w="109"/>
        <w:gridCol w:w="109"/>
        <w:gridCol w:w="248"/>
        <w:gridCol w:w="817"/>
        <w:gridCol w:w="19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19,064 </w:t>
            </w:r>
          </w:p>
        </w:tc>
        <w:tc>
          <w:tcPr>
            <w:tcW w:w="13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19,109 </w:t>
            </w:r>
          </w:p>
        </w:tc>
        <w:tc>
          <w:tcPr>
            <w:tcW w:w="19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Computers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4,705 </w:t>
            </w:r>
          </w:p>
        </w:tc>
        <w:tc>
          <w:tcPr>
            <w:tcW w:w="1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4,870 </w:t>
            </w:r>
          </w:p>
        </w:tc>
        <w:tc>
          <w:tcPr>
            <w:tcW w:w="19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31,922 </w:t>
            </w:r>
          </w:p>
        </w:tc>
        <w:tc>
          <w:tcPr>
            <w:tcW w:w="13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32,182 </w:t>
            </w:r>
          </w:p>
        </w:tc>
        <w:tc>
          <w:tcPr>
            <w:tcW w:w="19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3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7,012 </w:t>
            </w:r>
          </w:p>
        </w:tc>
        <w:tc>
          <w:tcPr>
            <w:tcW w:w="19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val="false"/>
          <w:color w:val="000000"/>
          <w:sz w:val="20"/>
          <w:shd w:fill="FFFFFF" w:val="clear"/>
        </w:rPr>
        <w:t>Depreciation expe</w:t>
      </w:r>
      <w:r>
        <w:rPr>
          <w:rFonts w:ascii="Arial;sans-serif" w:hAnsi="Arial;sans-serif"/>
          <w:b w:val="false"/>
          <w:color w:val="000000"/>
          <w:sz w:val="20"/>
        </w:rPr>
        <w:t>nse was $3.0 million, $4.3 million, and $4.5 million for the fiscal years ended December 31, 2023, 2022, and 2021 respectively.</w:t>
      </w:r>
    </w:p>
    <w:p>
      <w:pPr>
        <w:pStyle w:val="TextBody"/>
        <w:bidi w:val="0"/>
        <w:spacing w:lineRule="auto" w:line="288" w:before="200" w:after="283"/>
        <w:jc w:val="left"/>
        <w:rPr/>
      </w:pPr>
      <w:r>
        <w:rPr>
          <w:rFonts w:ascii="Arial;sans-serif" w:hAnsi="Arial;sans-serif"/>
          <w:b/>
          <w:i/>
          <w:color w:val="000000"/>
          <w:sz w:val="20"/>
          <w:shd w:fill="FFFFFF" w:val="clear"/>
        </w:rPr>
        <w:t>Capitalized software, net</w:t>
      </w:r>
      <w:r>
        <w:rPr>
          <w:color w:val="000000"/>
          <w:shd w:fill="FFFFFF" w:val="clear"/>
        </w:rPr>
        <w:t xml:space="preserve">— </w:t>
      </w:r>
      <w:r>
        <w:rPr>
          <w:rFonts w:ascii="Arial;sans-serif" w:hAnsi="Arial;sans-serif"/>
          <w:b w:val="false"/>
          <w:color w:val="000000"/>
          <w:sz w:val="20"/>
          <w:shd w:fill="FFFFFF" w:val="clear"/>
        </w:rPr>
        <w:t>Capitalized software, net consisted of the following (in thousands):</w:t>
      </w:r>
    </w:p>
    <w:tbl>
      <w:tblPr>
        <w:tblW w:w="5467" w:type="dxa"/>
        <w:jc w:val="left"/>
        <w:tblInd w:w="0" w:type="dxa"/>
        <w:tblLayout w:type="fixed"/>
        <w:tblCellMar>
          <w:top w:w="28" w:type="dxa"/>
          <w:left w:w="28" w:type="dxa"/>
          <w:bottom w:w="28" w:type="dxa"/>
          <w:right w:w="28" w:type="dxa"/>
        </w:tblCellMar>
      </w:tblPr>
      <w:tblGrid>
        <w:gridCol w:w="864"/>
        <w:gridCol w:w="758"/>
        <w:gridCol w:w="762"/>
        <w:gridCol w:w="109"/>
        <w:gridCol w:w="109"/>
        <w:gridCol w:w="109"/>
        <w:gridCol w:w="241"/>
        <w:gridCol w:w="795"/>
        <w:gridCol w:w="134"/>
        <w:gridCol w:w="109"/>
        <w:gridCol w:w="109"/>
        <w:gridCol w:w="109"/>
        <w:gridCol w:w="248"/>
        <w:gridCol w:w="817"/>
        <w:gridCol w:w="19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December 31, </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85,160 </w:t>
            </w:r>
          </w:p>
        </w:tc>
        <w:tc>
          <w:tcPr>
            <w:tcW w:w="1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63,748 </w:t>
            </w:r>
          </w:p>
        </w:tc>
        <w:tc>
          <w:tcPr>
            <w:tcW w:w="19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(36,336)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31,388 </w:t>
            </w:r>
          </w:p>
        </w:tc>
        <w:tc>
          <w:tcPr>
            <w:tcW w:w="13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27,412 </w:t>
            </w:r>
          </w:p>
        </w:tc>
        <w:tc>
          <w:tcPr>
            <w:tcW w:w="19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val="false"/>
          <w:color w:val="000000"/>
          <w:sz w:val="20"/>
          <w:shd w:fill="FFFFFF" w:val="clear"/>
        </w:rPr>
        <w:t>Amortization expense of capitalized</w:t>
      </w:r>
      <w:r>
        <w:rPr>
          <w:color w:val="000000"/>
        </w:rPr>
        <w:t xml:space="preserve"> </w:t>
      </w:r>
      <w:r>
        <w:rPr>
          <w:rFonts w:ascii="Arial;sans-serif" w:hAnsi="Arial;sans-serif"/>
          <w:b w:val="false"/>
          <w:color w:val="000000"/>
          <w:sz w:val="20"/>
        </w:rPr>
        <w:t>software was $17.5 million,</w:t>
      </w:r>
      <w:r>
        <w:rPr>
          <w:color w:val="000000"/>
          <w:shd w:fill="FFFFFF" w:val="clear"/>
        </w:rPr>
        <w:t xml:space="preserve"> </w:t>
      </w:r>
      <w:r>
        <w:rPr>
          <w:rFonts w:ascii="Arial;sans-serif" w:hAnsi="Arial;sans-serif"/>
          <w:b w:val="false"/>
          <w:color w:val="000000"/>
          <w:sz w:val="20"/>
          <w:shd w:fill="FFFFFF" w:val="clear"/>
        </w:rPr>
        <w:t>$12.6 million, and $9.3 million for the fiscal years ended December 31, 2023, 2022, and 2021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2023, expected amortization expense for capitalized software over the remaining asset lives was as follows (in thousands):</w:t>
      </w:r>
    </w:p>
    <w:p>
      <w:pPr>
        <w:pStyle w:val="TextBody"/>
        <w:bidi w:val="0"/>
        <w:spacing w:before="0" w:after="0"/>
        <w:jc w:val="left"/>
        <w:rPr/>
      </w:pPr>
      <w:r>
        <w:rPr/>
      </w:r>
    </w:p>
    <w:tbl>
      <w:tblPr>
        <w:tblW w:w="3125" w:type="dxa"/>
        <w:jc w:val="left"/>
        <w:tblInd w:w="0" w:type="dxa"/>
        <w:tblLayout w:type="fixed"/>
        <w:tblCellMar>
          <w:top w:w="28" w:type="dxa"/>
          <w:left w:w="28" w:type="dxa"/>
          <w:bottom w:w="28" w:type="dxa"/>
          <w:right w:w="28" w:type="dxa"/>
        </w:tblCellMar>
      </w:tblPr>
      <w:tblGrid>
        <w:gridCol w:w="768"/>
        <w:gridCol w:w="675"/>
        <w:gridCol w:w="686"/>
        <w:gridCol w:w="196"/>
        <w:gridCol w:w="646"/>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96"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16,637 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3,846 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expected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0" w:before="0" w:after="0"/>
        <w:jc w:val="left"/>
        <w:rPr/>
      </w:pPr>
      <w:r>
        <w:rPr>
          <w:rFonts w:ascii="Arial;sans-serif" w:hAnsi="Arial;sans-serif"/>
          <w:b/>
          <w:i/>
          <w:color w:val="000000"/>
          <w:sz w:val="20"/>
        </w:rPr>
        <w:t xml:space="preserve">Intangible assets, net and goodwill— </w:t>
      </w:r>
      <w:r>
        <w:rPr>
          <w:rFonts w:ascii="Arial;sans-serif" w:hAnsi="Arial;sans-serif"/>
          <w:b w:val="false"/>
          <w:color w:val="000000"/>
          <w:sz w:val="20"/>
        </w:rPr>
        <w:t>As of December 31, 2023, intangible assets, net acquired as part of the CorpU business combination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4"/>
        <w:gridCol w:w="523"/>
        <w:gridCol w:w="525"/>
        <w:gridCol w:w="109"/>
        <w:gridCol w:w="109"/>
        <w:gridCol w:w="109"/>
        <w:gridCol w:w="569"/>
        <w:gridCol w:w="569"/>
        <w:gridCol w:w="571"/>
        <w:gridCol w:w="109"/>
        <w:gridCol w:w="109"/>
        <w:gridCol w:w="109"/>
        <w:gridCol w:w="376"/>
        <w:gridCol w:w="1243"/>
        <w:gridCol w:w="209"/>
        <w:gridCol w:w="109"/>
        <w:gridCol w:w="109"/>
        <w:gridCol w:w="109"/>
        <w:gridCol w:w="449"/>
        <w:gridCol w:w="1312"/>
        <w:gridCol w:w="252"/>
        <w:gridCol w:w="109"/>
        <w:gridCol w:w="109"/>
        <w:gridCol w:w="109"/>
        <w:gridCol w:w="365"/>
        <w:gridCol w:w="1041"/>
        <w:gridCol w:w="299"/>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Net</w:t>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3,344 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Vendor relationships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(3,528)</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(3,293)</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2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15,100 </w:t>
            </w:r>
          </w:p>
        </w:tc>
        <w:tc>
          <w:tcPr>
            <w:tcW w:w="2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(9,877)</w:t>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5,223 </w:t>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2022, intangible assets, net acquired as part of the CorpU business combination were as follows (in thousands):</w:t>
      </w:r>
    </w:p>
    <w:tbl>
      <w:tblPr>
        <w:tblW w:w="10205" w:type="dxa"/>
        <w:jc w:val="left"/>
        <w:tblInd w:w="0" w:type="dxa"/>
        <w:tblLayout w:type="fixed"/>
        <w:tblCellMar>
          <w:top w:w="28" w:type="dxa"/>
          <w:left w:w="28" w:type="dxa"/>
          <w:bottom w:w="28" w:type="dxa"/>
          <w:right w:w="28" w:type="dxa"/>
        </w:tblCellMar>
      </w:tblPr>
      <w:tblGrid>
        <w:gridCol w:w="594"/>
        <w:gridCol w:w="523"/>
        <w:gridCol w:w="525"/>
        <w:gridCol w:w="109"/>
        <w:gridCol w:w="109"/>
        <w:gridCol w:w="109"/>
        <w:gridCol w:w="569"/>
        <w:gridCol w:w="569"/>
        <w:gridCol w:w="571"/>
        <w:gridCol w:w="109"/>
        <w:gridCol w:w="109"/>
        <w:gridCol w:w="109"/>
        <w:gridCol w:w="376"/>
        <w:gridCol w:w="1243"/>
        <w:gridCol w:w="209"/>
        <w:gridCol w:w="109"/>
        <w:gridCol w:w="109"/>
        <w:gridCol w:w="109"/>
        <w:gridCol w:w="449"/>
        <w:gridCol w:w="1312"/>
        <w:gridCol w:w="252"/>
        <w:gridCol w:w="109"/>
        <w:gridCol w:w="109"/>
        <w:gridCol w:w="109"/>
        <w:gridCol w:w="365"/>
        <w:gridCol w:w="1041"/>
        <w:gridCol w:w="299"/>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 Net</w:t>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w:t>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4,261 </w:t>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Vendor relationships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2,307 </w:t>
            </w:r>
          </w:p>
        </w:tc>
        <w:tc>
          <w:tcPr>
            <w:tcW w:w="2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15,100 </w:t>
            </w:r>
          </w:p>
        </w:tc>
        <w:tc>
          <w:tcPr>
            <w:tcW w:w="2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(5,769)</w:t>
            </w:r>
          </w:p>
        </w:tc>
        <w:tc>
          <w:tcPr>
            <w:tcW w:w="2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9,331 </w:t>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Amortization expense of intangible assets was $4.1 million, $4.3 million, and $1.5 million the fiscal years ended December 31, 2023, 2022, and 2021 respectively.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expected future amortization expense for intangible assets as of December 31, 2023 was as follows (in thousands):</w:t>
      </w:r>
    </w:p>
    <w:p>
      <w:pPr>
        <w:pStyle w:val="TextBody"/>
        <w:bidi w:val="0"/>
        <w:spacing w:before="0" w:after="0"/>
        <w:jc w:val="left"/>
        <w:rPr/>
      </w:pPr>
      <w:r>
        <w:rPr/>
      </w:r>
    </w:p>
    <w:tbl>
      <w:tblPr>
        <w:tblW w:w="3035" w:type="dxa"/>
        <w:jc w:val="left"/>
        <w:tblInd w:w="0" w:type="dxa"/>
        <w:tblLayout w:type="fixed"/>
        <w:tblCellMar>
          <w:top w:w="28" w:type="dxa"/>
          <w:left w:w="28" w:type="dxa"/>
          <w:bottom w:w="28" w:type="dxa"/>
          <w:right w:w="28" w:type="dxa"/>
        </w:tblCellMar>
      </w:tblPr>
      <w:tblGrid>
        <w:gridCol w:w="768"/>
        <w:gridCol w:w="675"/>
        <w:gridCol w:w="686"/>
        <w:gridCol w:w="196"/>
        <w:gridCol w:w="556"/>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expected amortization</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Goodwill in the amount of $12.6 million was established as part of the CorpU acquisition on August 24, 2021, and allocated to the Enterprise segment. This amount represents the excess of the purchase price over the fair value of net assets acquired. There have been no adjustments to the carrying amount of goodwill as of December 31, 2023.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6.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applies the guidance under Topic 842 for leases of real estate facilities under non-cancelable operating leases with various expiration dates through fiscal year 2026. The Company recognized the following amounts related to its operating leases in its consolidated statements of operations and cash flows (in thousands):</w:t>
      </w:r>
    </w:p>
    <w:tbl>
      <w:tblPr>
        <w:tblW w:w="10205" w:type="dxa"/>
        <w:jc w:val="left"/>
        <w:tblInd w:w="0" w:type="dxa"/>
        <w:tblLayout w:type="fixed"/>
        <w:tblCellMar>
          <w:top w:w="28" w:type="dxa"/>
          <w:left w:w="28" w:type="dxa"/>
          <w:bottom w:w="28" w:type="dxa"/>
          <w:right w:w="28" w:type="dxa"/>
        </w:tblCellMar>
      </w:tblPr>
      <w:tblGrid>
        <w:gridCol w:w="2723"/>
        <w:gridCol w:w="2402"/>
        <w:gridCol w:w="2411"/>
        <w:gridCol w:w="249"/>
        <w:gridCol w:w="708"/>
        <w:gridCol w:w="138"/>
        <w:gridCol w:w="138"/>
        <w:gridCol w:w="138"/>
        <w:gridCol w:w="138"/>
        <w:gridCol w:w="249"/>
        <w:gridCol w:w="708"/>
        <w:gridCol w:w="203"/>
      </w:tblGrid>
      <w:tr>
        <w:trPr/>
        <w:tc>
          <w:tcPr>
            <w:tcW w:w="272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75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costs</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6,335 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6,794 </w:t>
            </w:r>
          </w:p>
        </w:tc>
        <w:tc>
          <w:tcPr>
            <w:tcW w:w="2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lease costs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operating lease liabilities, net of lease incentives</w:t>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7,303 </w:t>
            </w:r>
          </w:p>
        </w:tc>
        <w:tc>
          <w:tcPr>
            <w:tcW w:w="1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fiscal years ended December 31, 2023 and 2022, the Company recognized an immaterial amount for short term lease expense and no sublease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4786" w:type="dxa"/>
        <w:jc w:val="left"/>
        <w:tblInd w:w="0" w:type="dxa"/>
        <w:tblLayout w:type="fixed"/>
        <w:tblCellMar>
          <w:top w:w="28" w:type="dxa"/>
          <w:left w:w="28" w:type="dxa"/>
          <w:bottom w:w="28" w:type="dxa"/>
          <w:right w:w="28" w:type="dxa"/>
        </w:tblCellMar>
      </w:tblPr>
      <w:tblGrid>
        <w:gridCol w:w="1140"/>
        <w:gridCol w:w="1003"/>
        <w:gridCol w:w="1007"/>
        <w:gridCol w:w="188"/>
        <w:gridCol w:w="188"/>
        <w:gridCol w:w="256"/>
        <w:gridCol w:w="109"/>
        <w:gridCol w:w="109"/>
        <w:gridCol w:w="109"/>
        <w:gridCol w:w="188"/>
        <w:gridCol w:w="188"/>
        <w:gridCol w:w="301"/>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term (years)</w:t>
            </w:r>
          </w:p>
        </w:tc>
        <w:tc>
          <w:tcPr>
            <w:tcW w:w="63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Future minimum lease payments under noncancellable operating leases with initial lease terms in excess of one year as of December 31, 2023, were as follows (in thousands):</w:t>
      </w:r>
    </w:p>
    <w:p>
      <w:pPr>
        <w:pStyle w:val="TextBody"/>
        <w:bidi w:val="0"/>
        <w:spacing w:before="0" w:after="0"/>
        <w:jc w:val="left"/>
        <w:rPr/>
      </w:pPr>
      <w:r>
        <w:rPr/>
      </w:r>
    </w:p>
    <w:tbl>
      <w:tblPr>
        <w:tblW w:w="3995" w:type="dxa"/>
        <w:jc w:val="left"/>
        <w:tblInd w:w="0" w:type="dxa"/>
        <w:tblLayout w:type="fixed"/>
        <w:tblCellMar>
          <w:top w:w="28" w:type="dxa"/>
          <w:left w:w="28" w:type="dxa"/>
          <w:bottom w:w="28" w:type="dxa"/>
          <w:right w:w="28" w:type="dxa"/>
        </w:tblCellMar>
      </w:tblPr>
      <w:tblGrid>
        <w:gridCol w:w="1116"/>
        <w:gridCol w:w="981"/>
        <w:gridCol w:w="992"/>
        <w:gridCol w:w="196"/>
        <w:gridCol w:w="556"/>
        <w:gridCol w:w="154"/>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lease payments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operating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Rent expense for operating leases under Topic 840 was $5.8 million for the fiscal year ended December 31, 2021.</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7. Accrued expenses and other current liabilities</w:t>
      </w:r>
    </w:p>
    <w:p>
      <w:pPr>
        <w:pStyle w:val="TextBody"/>
        <w:bidi w:val="0"/>
        <w:spacing w:lineRule="auto" w:line="28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Accrued expenses and other current liabilities consist of the following (in thousands):</w:t>
      </w:r>
    </w:p>
    <w:tbl>
      <w:tblPr>
        <w:tblW w:w="6146" w:type="dxa"/>
        <w:jc w:val="left"/>
        <w:tblInd w:w="0" w:type="dxa"/>
        <w:tblLayout w:type="fixed"/>
        <w:tblCellMar>
          <w:top w:w="28" w:type="dxa"/>
          <w:left w:w="28" w:type="dxa"/>
          <w:bottom w:w="28" w:type="dxa"/>
          <w:right w:w="28" w:type="dxa"/>
        </w:tblCellMar>
      </w:tblPr>
      <w:tblGrid>
        <w:gridCol w:w="1242"/>
        <w:gridCol w:w="1094"/>
        <w:gridCol w:w="1098"/>
        <w:gridCol w:w="241"/>
        <w:gridCol w:w="795"/>
        <w:gridCol w:w="134"/>
        <w:gridCol w:w="109"/>
        <w:gridCol w:w="109"/>
        <w:gridCol w:w="109"/>
        <w:gridCol w:w="239"/>
        <w:gridCol w:w="788"/>
        <w:gridCol w:w="188"/>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24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13,773 </w:t>
            </w:r>
          </w:p>
        </w:tc>
        <w:tc>
          <w:tcPr>
            <w:tcW w:w="13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8,494 </w:t>
            </w:r>
          </w:p>
        </w:tc>
        <w:tc>
          <w:tcPr>
            <w:tcW w:w="18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Indirect tax reserves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Indirect tax payables</w:t>
            </w:r>
          </w:p>
        </w:tc>
        <w:tc>
          <w:tcPr>
            <w:tcW w:w="1036"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8,758 </w:t>
            </w:r>
          </w:p>
        </w:tc>
        <w:tc>
          <w:tcPr>
            <w:tcW w:w="1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9,137 </w:t>
            </w:r>
          </w:p>
        </w:tc>
        <w:tc>
          <w:tcPr>
            <w:tcW w:w="18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24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27,778 </w:t>
            </w:r>
          </w:p>
        </w:tc>
        <w:tc>
          <w:tcPr>
            <w:tcW w:w="13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31,247 </w:t>
            </w:r>
          </w:p>
        </w:tc>
        <w:tc>
          <w:tcPr>
            <w:tcW w:w="1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Indirect tax payables relate to amounts collected from customers on behalf of third-party taxing authorities, primarily on sales in the U.S. and in international jurisdictions. Indirect tax payables also include withholding taxes on payments made to the Company’s instructors before remitting these amounts to the taxing authorities.</w:t>
      </w:r>
    </w:p>
    <w:p>
      <w:pPr>
        <w:pStyle w:val="TextBody"/>
        <w:bidi w:val="0"/>
        <w:spacing w:lineRule="auto" w:line="288" w:before="120" w:after="283"/>
        <w:jc w:val="left"/>
        <w:rPr/>
      </w:pPr>
      <w:r>
        <w:rPr>
          <w:rFonts w:ascii="Arial;sans-serif" w:hAnsi="Arial;sans-serif"/>
          <w:b/>
          <w:i/>
          <w:color w:val="000000"/>
          <w:sz w:val="20"/>
        </w:rPr>
        <w:t>Instructor withholding tax reserves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Prior to March 2020, the Company had not obtained appropriate taxpayer identification forms from instructors, nor remitted applicable tax withholding amounts to the U.S. Internal Revenue Service (“IRS”) where required. In accordance with GAAP, the Company recorded a provision for its tax exposure when it was both probable that a liability had been incurred and the amount of the exposure could be reasonably estimated.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Beginning in March 2020, the Company began collecting appropriate taxpayer identification forms from its instructors, assessing whether the forms justified a reduced rate of withholding or withholding exemption, and remitting withholding tax payments to the IRS where required. The Company also began reporting payments to its instructors and the IRS annually where required to do so.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2020, the Company approached the IRS to address the historical tax withholding amounts for instructors and engaged in a voluntary disclosure program. As of December 31, 2023, the Company has filed all outstanding withholding tax returns and has paid the associated tax obligation and corresponding interest to the IRS. The Company received a closing letter from the IRS on the matter during the fiscal year ended December 31, 2023, and considered the matter resolved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to the instructor withholding tax reserve are as follows (in thousands):</w:t>
      </w:r>
    </w:p>
    <w:p>
      <w:pPr>
        <w:pStyle w:val="TextBody"/>
        <w:bidi w:val="0"/>
        <w:spacing w:before="0" w:after="0"/>
        <w:jc w:val="left"/>
        <w:rPr/>
      </w:pPr>
      <w:r>
        <w:rPr/>
      </w:r>
    </w:p>
    <w:tbl>
      <w:tblPr>
        <w:tblW w:w="6897" w:type="dxa"/>
        <w:jc w:val="left"/>
        <w:tblInd w:w="0" w:type="dxa"/>
        <w:tblLayout w:type="fixed"/>
        <w:tblCellMar>
          <w:top w:w="28" w:type="dxa"/>
          <w:left w:w="28" w:type="dxa"/>
          <w:bottom w:w="28" w:type="dxa"/>
          <w:right w:w="28" w:type="dxa"/>
        </w:tblCellMar>
      </w:tblPr>
      <w:tblGrid>
        <w:gridCol w:w="1244"/>
        <w:gridCol w:w="1093"/>
        <w:gridCol w:w="1098"/>
        <w:gridCol w:w="196"/>
        <w:gridCol w:w="556"/>
        <w:gridCol w:w="109"/>
        <w:gridCol w:w="109"/>
        <w:gridCol w:w="109"/>
        <w:gridCol w:w="109"/>
        <w:gridCol w:w="196"/>
        <w:gridCol w:w="646"/>
        <w:gridCol w:w="109"/>
        <w:gridCol w:w="109"/>
        <w:gridCol w:w="109"/>
        <w:gridCol w:w="109"/>
        <w:gridCol w:w="196"/>
        <w:gridCol w:w="64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charged to (released from)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and settlements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shd w:fill="FFFFFF" w:val="clear"/>
        </w:rPr>
      </w:pPr>
      <w:r>
        <w:rPr>
          <w:rFonts w:ascii="Arial;sans-serif" w:hAnsi="Arial;sans-serif"/>
          <w:b/>
          <w:color w:val="000000"/>
          <w:sz w:val="24"/>
          <w:shd w:fill="FFFFFF" w:val="clear"/>
        </w:rPr>
        <w:t>8. Commitments and contingencies</w:t>
      </w:r>
    </w:p>
    <w:p>
      <w:pPr>
        <w:pStyle w:val="TextBody"/>
        <w:bidi w:val="0"/>
        <w:spacing w:lineRule="auto" w:line="288" w:before="120" w:after="283"/>
        <w:jc w:val="left"/>
        <w:rPr/>
      </w:pPr>
      <w:r>
        <w:rPr>
          <w:rFonts w:ascii="Arial;sans-serif" w:hAnsi="Arial;sans-serif"/>
          <w:b/>
          <w:i/>
          <w:color w:val="000000"/>
          <w:sz w:val="20"/>
          <w:shd w:fill="FFFFFF" w:val="clear"/>
        </w:rPr>
        <w:t>Noncancellable purchase commitments</w:t>
      </w:r>
      <w:r>
        <w:rPr>
          <w:color w:val="000000"/>
          <w:shd w:fill="FFFFFF" w:val="clear"/>
        </w:rPr>
        <w:t xml:space="preserve">— </w:t>
      </w:r>
      <w:r>
        <w:rPr>
          <w:rFonts w:ascii="Arial;sans-serif" w:hAnsi="Arial;sans-serif"/>
          <w:b w:val="false"/>
          <w:color w:val="000000"/>
          <w:sz w:val="20"/>
          <w:shd w:fill="FFFFFF" w:val="clear"/>
        </w:rPr>
        <w:t>The Company has contractual commitments with its cloud infrastructure provider, network service providers and paid advertising and sponsorship vendors that are noncancellable. As of December 31, 2023, future noncancellable commitments under these arrangements were as follows:</w:t>
      </w:r>
    </w:p>
    <w:tbl>
      <w:tblPr>
        <w:tblW w:w="10205" w:type="dxa"/>
        <w:jc w:val="left"/>
        <w:tblInd w:w="0" w:type="dxa"/>
        <w:tblLayout w:type="fixed"/>
        <w:tblCellMar>
          <w:top w:w="28" w:type="dxa"/>
          <w:left w:w="28" w:type="dxa"/>
          <w:bottom w:w="28" w:type="dxa"/>
          <w:right w:w="28" w:type="dxa"/>
        </w:tblCellMar>
      </w:tblPr>
      <w:tblGrid>
        <w:gridCol w:w="2500"/>
        <w:gridCol w:w="2197"/>
        <w:gridCol w:w="2223"/>
        <w:gridCol w:w="646"/>
        <w:gridCol w:w="2129"/>
        <w:gridCol w:w="510"/>
      </w:tblGrid>
      <w:tr>
        <w:trPr/>
        <w:tc>
          <w:tcPr>
            <w:tcW w:w="250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34,312 </w:t>
            </w:r>
          </w:p>
        </w:tc>
        <w:tc>
          <w:tcPr>
            <w:tcW w:w="5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2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25,572 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27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5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purchase commitments </w:t>
            </w:r>
            <w:r>
              <w:rPr>
                <w:rFonts w:ascii="Arial;sans-serif" w:hAnsi="Arial;sans-serif"/>
                <w:b w:val="false"/>
                <w:color w:val="000000"/>
                <w:sz w:val="10"/>
              </w:rPr>
              <w:t>(1)</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63,016 </w:t>
            </w:r>
          </w:p>
        </w:tc>
        <w:tc>
          <w:tcPr>
            <w:tcW w:w="5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Includes $28.7 million of non-cancelable contractual commitments as of December 31, 2023 related to the Company's third-party cloud infrastructure agreement, under which the Company committed to spend an aggregate of at least $45.0 million between January 2023 and December 2025, with a $12.0 million minimum purchase commitment each year. The Company is required to pay the residual difference if it fails to meet the aggregate minimum purchase commitment by December 2025.</w:t>
            </w:r>
          </w:p>
        </w:tc>
      </w:tr>
    </w:tbl>
    <w:p>
      <w:pPr>
        <w:pStyle w:val="TextBody"/>
        <w:bidi w:val="0"/>
        <w:spacing w:lineRule="auto" w:line="288" w:before="120" w:after="283"/>
        <w:jc w:val="left"/>
        <w:rPr/>
      </w:pPr>
      <w:r>
        <w:rPr>
          <w:rFonts w:ascii="Arial;sans-serif" w:hAnsi="Arial;sans-serif"/>
          <w:b/>
          <w:i/>
          <w:color w:val="000000"/>
          <w:sz w:val="20"/>
          <w:shd w:fill="FFFFFF" w:val="clear"/>
        </w:rPr>
        <w:t>Indemnification</w:t>
      </w:r>
      <w:r>
        <w:rPr>
          <w:color w:val="000000"/>
          <w:shd w:fill="FFFFFF" w:val="clear"/>
        </w:rPr>
        <w:t xml:space="preserve">— </w:t>
      </w:r>
      <w:r>
        <w:rPr>
          <w:rFonts w:ascii="Arial;sans-serif" w:hAnsi="Arial;sans-serif"/>
          <w:b w:val="false"/>
          <w:color w:val="000000"/>
          <w:sz w:val="20"/>
          <w:shd w:fill="FFFFFF" w:val="clear"/>
        </w:rPr>
        <w:t>The Company enters into indemnification provisions under agreements with other parties in the ordinary course of 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consolidated statements of operations in connection with the indemnification provisions have not been material.</w:t>
      </w:r>
    </w:p>
    <w:p>
      <w:pPr>
        <w:pStyle w:val="TextBody"/>
        <w:bidi w:val="0"/>
        <w:spacing w:lineRule="auto" w:line="288" w:before="120" w:after="283"/>
        <w:jc w:val="left"/>
        <w:rPr/>
      </w:pPr>
      <w:r>
        <w:rPr>
          <w:rFonts w:ascii="Arial;sans-serif" w:hAnsi="Arial;sans-serif"/>
          <w:b/>
          <w:i/>
          <w:color w:val="000000"/>
          <w:sz w:val="20"/>
          <w:shd w:fill="FFFFFF" w:val="clear"/>
        </w:rPr>
        <w:t>Litigation</w:t>
      </w:r>
      <w:r>
        <w:rPr>
          <w:color w:val="000000"/>
          <w:shd w:fill="FFFFFF" w:val="clear"/>
        </w:rPr>
        <w:t xml:space="preserve">— </w:t>
      </w:r>
      <w:r>
        <w:rPr>
          <w:rFonts w:ascii="Arial;sans-serif" w:hAnsi="Arial;sans-serif"/>
          <w:b w:val="false"/>
          <w:color w:val="000000"/>
          <w:sz w:val="20"/>
          <w:shd w:fill="FFFFFF" w:val="clear"/>
        </w:rPr>
        <w:t>From time to time, in the ordinary course of business, the Company is subject to legal proceedings, claims, investigations, and 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 The Company has recorded an immaterial amount related to all outstanding litigation matters in the accrued expenses and other current liabilities caption of the accompanying consolidated balance sheets as of December 31, 2023, and December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9. 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domestic and foreign components of income (loss) before provision for income taxes consisted of the following (in thousands):</w:t>
      </w:r>
    </w:p>
    <w:tbl>
      <w:tblPr>
        <w:tblW w:w="6012" w:type="dxa"/>
        <w:jc w:val="left"/>
        <w:tblInd w:w="0" w:type="dxa"/>
        <w:tblLayout w:type="fixed"/>
        <w:tblCellMar>
          <w:top w:w="28" w:type="dxa"/>
          <w:left w:w="28" w:type="dxa"/>
          <w:bottom w:w="28" w:type="dxa"/>
          <w:right w:w="28" w:type="dxa"/>
        </w:tblCellMar>
      </w:tblPr>
      <w:tblGrid>
        <w:gridCol w:w="745"/>
        <w:gridCol w:w="654"/>
        <w:gridCol w:w="656"/>
        <w:gridCol w:w="196"/>
        <w:gridCol w:w="811"/>
        <w:gridCol w:w="109"/>
        <w:gridCol w:w="109"/>
        <w:gridCol w:w="109"/>
        <w:gridCol w:w="109"/>
        <w:gridCol w:w="196"/>
        <w:gridCol w:w="811"/>
        <w:gridCol w:w="109"/>
        <w:gridCol w:w="109"/>
        <w:gridCol w:w="109"/>
        <w:gridCol w:w="109"/>
        <w:gridCol w:w="196"/>
        <w:gridCol w:w="72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Fiscal Year Ended December 31, </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Domestic</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(110,640)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(155,528)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(80,243)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net loss before taxes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(103,641)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(151,589)</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(78,843)</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provision for income taxes consisted of the following (in thousands):</w:t>
      </w:r>
    </w:p>
    <w:tbl>
      <w:tblPr>
        <w:tblW w:w="5847" w:type="dxa"/>
        <w:jc w:val="left"/>
        <w:tblInd w:w="0" w:type="dxa"/>
        <w:tblLayout w:type="fixed"/>
        <w:tblCellMar>
          <w:top w:w="28" w:type="dxa"/>
          <w:left w:w="28" w:type="dxa"/>
          <w:bottom w:w="28" w:type="dxa"/>
          <w:right w:w="28" w:type="dxa"/>
        </w:tblCellMar>
      </w:tblPr>
      <w:tblGrid>
        <w:gridCol w:w="929"/>
        <w:gridCol w:w="813"/>
        <w:gridCol w:w="823"/>
        <w:gridCol w:w="196"/>
        <w:gridCol w:w="556"/>
        <w:gridCol w:w="109"/>
        <w:gridCol w:w="109"/>
        <w:gridCol w:w="109"/>
        <w:gridCol w:w="109"/>
        <w:gridCol w:w="196"/>
        <w:gridCol w:w="556"/>
        <w:gridCol w:w="109"/>
        <w:gridCol w:w="109"/>
        <w:gridCol w:w="109"/>
        <w:gridCol w:w="109"/>
        <w:gridCol w:w="196"/>
        <w:gridCol w:w="556"/>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Fiscal Year Ended December 31, </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State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current income tax expense</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Federal </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deferred income tax benefit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provision for income taxes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had an effective tax rate of (3.52)%, (1.51)%, and (1.50)% for the fiscal years ended December 31, 2023, 2022, and 2021, respectively. The difference between the 21% statutory federal tax rate and the effective tax rate was primarily a result of increases in total valuation allowance and non-deductible compensation, which were partially offset by an increase in tax credit creation.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reconciliation between the statutory federal income tax rate and the Company’s effective tax rate as a percentage of loss before income taxes is as follows:</w:t>
      </w:r>
    </w:p>
    <w:tbl>
      <w:tblPr>
        <w:tblW w:w="6405" w:type="dxa"/>
        <w:jc w:val="left"/>
        <w:tblInd w:w="0" w:type="dxa"/>
        <w:tblLayout w:type="fixed"/>
        <w:tblCellMar>
          <w:top w:w="28" w:type="dxa"/>
          <w:left w:w="28" w:type="dxa"/>
          <w:bottom w:w="28" w:type="dxa"/>
          <w:right w:w="28" w:type="dxa"/>
        </w:tblCellMar>
      </w:tblPr>
      <w:tblGrid>
        <w:gridCol w:w="968"/>
        <w:gridCol w:w="848"/>
        <w:gridCol w:w="854"/>
        <w:gridCol w:w="314"/>
        <w:gridCol w:w="316"/>
        <w:gridCol w:w="322"/>
        <w:gridCol w:w="137"/>
        <w:gridCol w:w="137"/>
        <w:gridCol w:w="137"/>
        <w:gridCol w:w="314"/>
        <w:gridCol w:w="316"/>
        <w:gridCol w:w="322"/>
        <w:gridCol w:w="137"/>
        <w:gridCol w:w="137"/>
        <w:gridCol w:w="137"/>
        <w:gridCol w:w="314"/>
        <w:gridCol w:w="316"/>
        <w:gridCol w:w="379"/>
      </w:tblGrid>
      <w:tr>
        <w:trPr/>
        <w:tc>
          <w:tcPr>
            <w:tcW w:w="96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Federal tax expense</w:t>
            </w:r>
          </w:p>
        </w:tc>
        <w:tc>
          <w:tcPr>
            <w:tcW w:w="6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3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State taxes, net of federal benefit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Foreign rate differential</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(0.33)</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Withholding taxes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(0.60)</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Nondeductible compensation</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 credits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Nontaxable dividends </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63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3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3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3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Significant components of the net deferred tax assets (liabilities) for the fiscal years ended December 31, 2023 and 2022, consisted of the following (in thousands):</w:t>
      </w:r>
    </w:p>
    <w:tbl>
      <w:tblPr>
        <w:tblW w:w="5569" w:type="dxa"/>
        <w:jc w:val="left"/>
        <w:tblInd w:w="0" w:type="dxa"/>
        <w:tblLayout w:type="fixed"/>
        <w:tblCellMar>
          <w:top w:w="28" w:type="dxa"/>
          <w:left w:w="28" w:type="dxa"/>
          <w:bottom w:w="28" w:type="dxa"/>
          <w:right w:w="28" w:type="dxa"/>
        </w:tblCellMar>
      </w:tblPr>
      <w:tblGrid>
        <w:gridCol w:w="1216"/>
        <w:gridCol w:w="1069"/>
        <w:gridCol w:w="1074"/>
        <w:gridCol w:w="211"/>
        <w:gridCol w:w="599"/>
        <w:gridCol w:w="109"/>
        <w:gridCol w:w="109"/>
        <w:gridCol w:w="109"/>
        <w:gridCol w:w="109"/>
        <w:gridCol w:w="211"/>
        <w:gridCol w:w="59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tax assets:</w:t>
            </w:r>
          </w:p>
        </w:tc>
        <w:tc>
          <w:tcPr>
            <w:tcW w:w="9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Accruals and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revenue</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operating loss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 tax credits</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Indirect tax reserves</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Capitalized research and development costs</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Gross deferred tax assets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Valuation allowance</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(129,453)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deferred tax assets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9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contract costs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lease right-of-use-assets</w:t>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deferred tax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deferred tax liabilities</w:t>
            </w:r>
          </w:p>
        </w:tc>
        <w:tc>
          <w:tcPr>
            <w:tcW w:w="8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and December 31, 2022, the Company has established a valuation allowance of $150.9 million and $129.5 million, respectively, against its gross deferred tax assets due to the uncertainty surrounding the realization of such assets. The change in total valuation allowance from 2022 to 2023 was an increase of $21.5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 Company had $160.6 million of federal net operating loss (“NOL”) carryforwards. $72.4 million of federal NOL carryforwards generated in taxable years beginning prior to January 1, 2018 begin expiring in 2036, if not utilized. $88.2 million of federal NOL carryforwards generated in taxable years beginning after December 31, 2017 have an indefinite carryforward period, but are subject to the 80% deduction limitation based upon pre-NOL deduction taxable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 Company had $41.4 million of state NOL carryforwards. The state NOL carryforwards begin expiring in 2030, if not utilized.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the Company had U.S. federal and state research and development tax credit carryforwards of $23.2 million and $15.3 million, respectively. The federal research and development tax credit carryforwards will expire in various amounts beginning in 2035 while the state research and development tax credit carryforwards can be carried forward indefinitely.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United States enacted the Tax Cuts and Jobs Act in December 2017, which requires companies to capitalize all their research and development costs for U.S. tax purposes, including software development costs, incurred in tax years beginning after December 31, 2021. Beginning in 2022, the Company began capitalizing and amortizing research and development costs over a five-year period for domestic research and a fifteen-year period for international research rather than expensing these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utilization of the Company’s net operating losses may be subject to a limitation due to the “ownership change” provisions under Section 382 of the Internal Revenue Code and similar state and foreign provisions. Such limitation may result in the expiration of the net operating loss carryforwards generated before 2018 prior to their utilization. The Company has performed a Section 382 study through December 31, 2022 to determine any potential Section 382 limitations on the utilization of its net operating loss carryforwards and tax credit carryforwards and has determined that the Company experienced two ownership changes with the Company’s Series A and A-1 preferred stock offering in September 2011 and with the Company’s Series B preferred stock offering in November 2012. The Company has estimated that the gross U.S. federal NOL carryforwards from 2010 to 2012 that would be subject to limitation are approximately $3.4 million. </w:t>
      </w:r>
    </w:p>
    <w:p>
      <w:pPr>
        <w:pStyle w:val="TextBody"/>
        <w:bidi w:val="0"/>
        <w:spacing w:lineRule="auto" w:line="288" w:before="120" w:after="283"/>
        <w:jc w:val="left"/>
        <w:rPr/>
      </w:pPr>
      <w:r>
        <w:rPr>
          <w:rFonts w:ascii="Arial;sans-serif" w:hAnsi="Arial;sans-serif"/>
          <w:b/>
          <w:i/>
          <w:color w:val="000000"/>
          <w:sz w:val="20"/>
        </w:rPr>
        <w:t>Uncertain tax positions—</w:t>
      </w:r>
      <w:r>
        <w:rPr>
          <w:color w:val="000000"/>
        </w:rPr>
        <w:t xml:space="preserve"> </w:t>
      </w:r>
      <w:r>
        <w:rPr>
          <w:rFonts w:ascii="Arial;sans-serif" w:hAnsi="Arial;sans-serif"/>
          <w:b w:val="false"/>
          <w:color w:val="000000"/>
          <w:sz w:val="20"/>
        </w:rPr>
        <w:t>As of December 31, 2023 and 2022, the Company had gross unrecognized tax benefits of $7.2 million and $5.3 million, respectively, related to federal and state research and development tax credits. The Company has performed a R&amp;D tax credit study and has reserved against a portion of its federal and state R&amp;D tax credit carryforwards. The Company’s tax position of such credits is not more likely than not to be sustained upon examination. The Company has recorded an uncertain tax position related to the deferred tax asset recognized for these credits.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reconciliation of the beginning and ending balance of unrecognized tax benefit is as follows (in thousands):</w:t>
      </w:r>
    </w:p>
    <w:tbl>
      <w:tblPr>
        <w:tblW w:w="7887" w:type="dxa"/>
        <w:jc w:val="left"/>
        <w:tblInd w:w="0" w:type="dxa"/>
        <w:tblLayout w:type="fixed"/>
        <w:tblCellMar>
          <w:top w:w="28" w:type="dxa"/>
          <w:left w:w="28" w:type="dxa"/>
          <w:bottom w:w="28" w:type="dxa"/>
          <w:right w:w="28" w:type="dxa"/>
        </w:tblCellMar>
      </w:tblPr>
      <w:tblGrid>
        <w:gridCol w:w="1634"/>
        <w:gridCol w:w="1438"/>
        <w:gridCol w:w="1443"/>
        <w:gridCol w:w="196"/>
        <w:gridCol w:w="556"/>
        <w:gridCol w:w="109"/>
        <w:gridCol w:w="109"/>
        <w:gridCol w:w="109"/>
        <w:gridCol w:w="109"/>
        <w:gridCol w:w="196"/>
        <w:gridCol w:w="556"/>
        <w:gridCol w:w="109"/>
        <w:gridCol w:w="109"/>
        <w:gridCol w:w="109"/>
        <w:gridCol w:w="109"/>
        <w:gridCol w:w="196"/>
        <w:gridCol w:w="64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Gross unrecognized tax benefits at the beginning of the year</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Increases (decreases) related to prior year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Increases related to current year tax positions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Statues of limitations expirations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Gross unrecognized tax benefits at the end of the year</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unaware of uncertain tax positions that could result in significant additional payments, accruals, or other material deviations in the next 12 months. The Company currently does not record interest and penalties, if any, related to unrecognized tax benefits. None of the unrecognized tax benefits as of December 31, 2023, if recognized in a future period, would affect the Company’s effective tax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intends to indefinitely reinvest any future undistributed foreign earnings outside the United States and therefore such earnings will not be subject to U.S. federal or state, or foreign withholding tax. The Company has prepared an analysis of the repatriation of earnings outside of the U.S. and has determined that the potential tax in connection with such repatriation is approximately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The Company files income tax returns in U.S. federal, and certain state and foreign jurisdictions with varying statutes of limitations. Due to NOL carryforwards and tax credit carryforwards, the statutes of limitations remain open for tax years from inception of the Company through the fiscal year ended December 31, 2023. There are currently no income tax audits underway by U.S. federal or state tax authorities.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In October 2023, one of the Company’s subsidiaries, Udemy India LLP, received a tax assessment from the India Income Tax Department. The assessment challenged the transfer pricing methodology used by Udemy India LLP for the fiscal year ended March 31, 2021. The Company believes the proposed adjustment is without merit and will vigorously defend its position; however, it could take a number of years to reach resolution of this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10. Employee retirement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maintains a 401(k) retirement savings plan covering eligible employees. Employee contributions to the plan consist of a percentage based on eligible employee compensation. Beginning in 2023, the Company began matching 50% of an employee’s contribution up to 4% of the employee’s eligible compensation, with no vesting requirements. Prior to 2023, the Company matched 25% of an employee’s contribution up to 6% of the employee’s compensation, with a cap of $500 annually, subject to a two-year graded vesting schedule that vested 50% after an employee’s first year of employment and 100% after two years of employment. The Company contributed $3.0 million, $0.5 million and $0.4 million for the fiscal years ended December 31, 2023, 2022, and 2021,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11. Related party transactions</w:t>
      </w:r>
    </w:p>
    <w:p>
      <w:pPr>
        <w:pStyle w:val="TextBody"/>
        <w:bidi w:val="0"/>
        <w:spacing w:lineRule="auto" w:line="288" w:before="120" w:after="283"/>
        <w:jc w:val="left"/>
        <w:rPr/>
      </w:pPr>
      <w:r>
        <w:rPr>
          <w:rFonts w:ascii="Arial;sans-serif" w:hAnsi="Arial;sans-serif"/>
          <w:b w:val="false"/>
          <w:color w:val="000000"/>
          <w:sz w:val="20"/>
          <w:shd w:fill="FFFFFF" w:val="clear"/>
        </w:rPr>
        <w:t>Naspers Ltd. (“Naspers”), through an investment entity controlled by Prosus N.V. (“Prosus”), beneficially owns more than 5% of the Company’s outstanding capital stock. A current member of the Company’s Board of Directors is the Chief Executive Officer of a Prosus operating subsidiary, OLX Global B.V. A former member of the Company’s Board of Directors, who resigned in September 2022, was an executive officer of Prosus. Naspers and cer</w:t>
      </w:r>
      <w:r>
        <w:rPr>
          <w:rFonts w:ascii="Arial;sans-serif" w:hAnsi="Arial;sans-serif"/>
          <w:b w:val="false"/>
          <w:color w:val="000000"/>
          <w:sz w:val="20"/>
        </w:rPr>
        <w:t>tain entities directly and indirectly controlled by Naspers are customers of the Company’s Enterprise subscription offering. The Company recorded $1.9 million, $1.5 million, and $1.5 million of revenue during the fiscal years ended December 31, 2023, 2022, and 2021, respectively. As of December 31, 2023 and December 31, 2022, the Company had immaterial accounts receivable balances with these customers.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Insight Partners, where a member of the Company’s Board of Directors is a Managing Director, has certain affiliates who are customers of the Company’s Enterprise subscription offering. The Company recorded $0.7 million of revenue from services provided to these customers during the fiscal year ended December 31, 2023. As of December 31, 2023, the Company had an accounts receivable balance of $0.2 million with these customers. Insight Partners is also affiliated with certain vendors that the Company has contracted to provide technology and software solutions. The Company recorded $0.8 million, $0.9 million, and $0.9 million of expense during the fiscal years ended December 31, 2023, 2022, and 2021, respectively. The Company did not have an accounts payable balance with these vendors as of December 31, 2023, and December 31,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members of the Company’s Board of Directors also serve as executive officers for customers of the Company’s Enterprise subscription offering. The Company recorded $0.4 million and $0.5 million of revenue during the fiscal years ended December 31, 2023 and 2022, respectively. As of both December 31, 2023 and December 31, 2022, the Company had an accounts receivable balance with these customers of $0.4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12. Stockholders' equity</w:t>
      </w:r>
    </w:p>
    <w:p>
      <w:pPr>
        <w:pStyle w:val="TextBody"/>
        <w:bidi w:val="0"/>
        <w:spacing w:lineRule="auto" w:line="288" w:before="120" w:after="283"/>
        <w:jc w:val="left"/>
        <w:rPr/>
      </w:pPr>
      <w:r>
        <w:rPr>
          <w:rFonts w:ascii="Arial;sans-serif" w:hAnsi="Arial;sans-serif"/>
          <w:b/>
          <w:i/>
          <w:color w:val="000000"/>
          <w:sz w:val="20"/>
          <w:shd w:fill="FFFFFF" w:val="clear"/>
        </w:rPr>
        <w:t>Preferred stock</w:t>
      </w:r>
      <w:r>
        <w:rPr>
          <w:color w:val="000000"/>
          <w:shd w:fill="FFFFFF" w:val="clear"/>
        </w:rPr>
        <w:t xml:space="preserve">— </w:t>
      </w:r>
      <w:r>
        <w:rPr>
          <w:rFonts w:ascii="Arial;sans-serif" w:hAnsi="Arial;sans-serif"/>
          <w:b w:val="false"/>
          <w:color w:val="000000"/>
          <w:sz w:val="20"/>
          <w:shd w:fill="FFFFFF" w:val="clear"/>
        </w:rPr>
        <w:t>In connection with the IPO, the Company’s amended and restated certificate of incorporation became effective, which authorized the issuance of 50,000,000 shares of undesignated preferred stock with a par value of $0.00001 per share with rights and preferences, including voting rights, designated from time to time by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Common stock</w:t>
      </w:r>
      <w:r>
        <w:rPr>
          <w:color w:val="000000"/>
        </w:rPr>
        <w:t xml:space="preserve">— </w:t>
      </w:r>
      <w:r>
        <w:rPr>
          <w:rFonts w:ascii="Arial;sans-serif" w:hAnsi="Arial;sans-serif"/>
          <w:b w:val="false"/>
          <w:color w:val="000000"/>
          <w:sz w:val="20"/>
        </w:rPr>
        <w:t>Common stockholders are entitled to one vote per share. Shares of common stock reserved for future issuance consisted of the following:</w:t>
      </w:r>
    </w:p>
    <w:tbl>
      <w:tblPr>
        <w:tblW w:w="8021" w:type="dxa"/>
        <w:jc w:val="left"/>
        <w:tblInd w:w="0" w:type="dxa"/>
        <w:tblLayout w:type="fixed"/>
        <w:tblCellMar>
          <w:top w:w="28" w:type="dxa"/>
          <w:left w:w="28" w:type="dxa"/>
          <w:bottom w:w="28" w:type="dxa"/>
          <w:right w:w="28" w:type="dxa"/>
        </w:tblCellMar>
      </w:tblPr>
      <w:tblGrid>
        <w:gridCol w:w="1476"/>
        <w:gridCol w:w="1293"/>
        <w:gridCol w:w="1303"/>
        <w:gridCol w:w="602"/>
        <w:gridCol w:w="606"/>
        <w:gridCol w:w="491"/>
        <w:gridCol w:w="137"/>
        <w:gridCol w:w="137"/>
        <w:gridCol w:w="137"/>
        <w:gridCol w:w="603"/>
        <w:gridCol w:w="604"/>
        <w:gridCol w:w="632"/>
      </w:tblGrid>
      <w:tr>
        <w:trPr/>
        <w:tc>
          <w:tcPr>
            <w:tcW w:w="147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07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2010 Equity Incentive Plan:</w:t>
            </w:r>
          </w:p>
        </w:tc>
        <w:tc>
          <w:tcPr>
            <w:tcW w:w="1699"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outstanding</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4,621,021 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10,333,771 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Equity Incentive Plan:</w:t>
            </w:r>
          </w:p>
        </w:tc>
        <w:tc>
          <w:tcPr>
            <w:tcW w:w="169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RSUs outstanding and PSUs</w:t>
            </w:r>
            <w:r>
              <w:rPr>
                <w:rFonts w:ascii="Arial;sans-serif" w:hAnsi="Arial;sans-serif"/>
                <w:b w:val="false"/>
                <w:color w:val="000000"/>
                <w:sz w:val="10"/>
              </w:rPr>
              <w:t>(1)</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16,738,309 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16,178,101 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available for future issuance under:</w:t>
            </w:r>
          </w:p>
        </w:tc>
        <w:tc>
          <w:tcPr>
            <w:tcW w:w="169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Equity Incentive Plan</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4,093,695 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2,814,126 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 Employee Stock Purchase Plan</w:t>
            </w:r>
          </w:p>
        </w:tc>
        <w:tc>
          <w:tcPr>
            <w:tcW w:w="120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2,350,803 </w:t>
            </w:r>
          </w:p>
        </w:tc>
        <w:tc>
          <w:tcPr>
            <w:tcW w:w="49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1,929,578 </w:t>
            </w:r>
          </w:p>
        </w:tc>
        <w:tc>
          <w:tcPr>
            <w:tcW w:w="63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shares of common stock reserved</w:t>
            </w:r>
          </w:p>
        </w:tc>
        <w:tc>
          <w:tcPr>
            <w:tcW w:w="1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27,803,828 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31,255,576 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21" w:type="dxa"/>
            <w:gridSpan w:val="12"/>
            <w:tcBorders/>
            <w:shd w:fill="DDDDDD"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14"/>
              </w:rPr>
            </w:pPr>
            <w:r>
              <w:rPr>
                <w:rFonts w:ascii="Arial;sans-serif" w:hAnsi="Arial;sans-serif"/>
                <w:b w:val="false"/>
                <w:color w:val="000000"/>
                <w:sz w:val="14"/>
              </w:rPr>
              <w:t xml:space="preserve">(1) The number of PSUs reserved for issuance is based on the maximum achievement of the corporate performance metric. </w:t>
            </w:r>
          </w:p>
        </w:tc>
      </w:tr>
    </w:tbl>
    <w:p>
      <w:pPr>
        <w:pStyle w:val="TextBody"/>
        <w:bidi w:val="0"/>
        <w:spacing w:lineRule="auto" w:line="288" w:before="120" w:after="283"/>
        <w:jc w:val="left"/>
        <w:rPr/>
      </w:pPr>
      <w:r>
        <w:rPr>
          <w:rFonts w:ascii="Arial;sans-serif" w:hAnsi="Arial;sans-serif"/>
          <w:b/>
          <w:i/>
          <w:color w:val="000000"/>
          <w:sz w:val="20"/>
        </w:rPr>
        <w:t>Equity incentive plans</w:t>
      </w:r>
      <w:r>
        <w:rPr>
          <w:color w:val="000000"/>
        </w:rPr>
        <w:t xml:space="preserve">— </w:t>
      </w:r>
      <w:r>
        <w:rPr>
          <w:rFonts w:ascii="Arial;sans-serif" w:hAnsi="Arial;sans-serif"/>
          <w:b w:val="false"/>
          <w:color w:val="000000"/>
          <w:sz w:val="20"/>
        </w:rPr>
        <w:t>In 2010, the Company adopted the 2010 Equity Incentive Plan (the “2010 Plan”). The 2010 Plan provided for incentive stock options (“ISOs”), non-statutory stock options (“NSOs”, collectively with ISOs, “stock options”), SARs, restricted stock, and restricted stock units (“RSUs”) to be granted to eligible employees, directors, and consultants. The 2010 Plan was terminated in October 2021 in connection with the IPO but continues to govern the terms and conditions of the outstanding awards granted pursuant to the 2010 Plan. No further equity awards will be granted under the 2010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adopted the 2021 Equity Incentive Plan (the "2021 Plan") in September 2021, which became effective on October 28, 2021 (collectively with the 2010 Plan, the “Equity Incentive Plans”) and was approved by the Company’s stockholders. The 2021 Plan provides for the granting of ISOs, NSOs, SARs, restricted stock, RSUs, and performance awards to eligible employees, directors, and consultants.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initially reserved 13,800,000 shares for issuance under the 2021 Plan. The amount available for issuance is subject to an annual increase on the first day of each calendar year, beginning on January 1, 2023, in an amount equal to 5% of the outstanding shares of the Company’s common stock on the last day of the immediately preceding calendar year or a lesser amount determined by the Company’s Board of Directors or compensation committee. The amount available for issuance shall also include Returning Shares, which are any shares subject to awards granted under the 2010 Plan that, on or after October 29, 2021, expire or otherwise terminate without having been exercised in full, are tendered to or withheld by the Company for payment of an exercise price or for tax withholding obligations, or are forfeited to or repurchased by the Company due to failure to vest. Additionally, any difference in (i) the number of PSUs reserved for future issuance based on maximum achievement of the corporate performance metric and (ii) the number of PSUs issued based on actual attainment are returned to the 2021 Plan.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January 1, 2023, the shares available for future grants under the 2021 Plan automatically increased by 7,250,689 pursuant to the above evergreen provision of the 2021 Plan. </w:t>
      </w:r>
    </w:p>
    <w:p>
      <w:pPr>
        <w:pStyle w:val="TextBody"/>
        <w:bidi w:val="0"/>
        <w:spacing w:lineRule="auto" w:line="288" w:before="120" w:after="283"/>
        <w:jc w:val="left"/>
        <w:rPr/>
      </w:pPr>
      <w:r>
        <w:rPr>
          <w:rFonts w:ascii="Arial;sans-serif" w:hAnsi="Arial;sans-serif"/>
          <w:b/>
          <w:i/>
          <w:color w:val="000000"/>
          <w:sz w:val="20"/>
        </w:rPr>
        <w:t xml:space="preserve">Equity Exchange— </w:t>
      </w:r>
      <w:r>
        <w:rPr>
          <w:rFonts w:ascii="Arial;sans-serif" w:hAnsi="Arial;sans-serif"/>
          <w:b w:val="false"/>
          <w:color w:val="000000"/>
          <w:sz w:val="20"/>
        </w:rPr>
        <w:t>On July 11, 2022, the Company launched an equity exchange program (the “Equity Exchange”) in which eligible employees and executives were able to exchange certain outstanding stock options and SARs, whether vested or unvested, with a per share exercise price equal to or greater than $11.13, for RSUs on a one-for-one basis. Upon expiration of the offer to exchange on August 6, 2022, 6,958,544 stock options and SARs (collectively, the “Exchanged Awards”) were canceled and immediately exchanged for an equivalent number of new RSUs, representing a participation rate by eligible awards of approximately 97%.</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incremental stock-based compensation expense associated with the Equity Exchange was calculated as the excess of the fair value of each new RSU awarded, as measured on the date exchanged, over the fair value of the corresponding Exchanged Awards, as measured immediately prior to the exchange closing on August 6, 2022. The fair value of the new RSUs was estimated using the fair value of the Company’s common stock on the exchange date. The following table summarizes the weighted-average assumptions used in the Black-Scholes option-pricing model to estimate the fair value of the Exchanged Awards as of August 6,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2444" w:type="dxa"/>
        <w:jc w:val="left"/>
        <w:tblInd w:w="0" w:type="dxa"/>
        <w:tblLayout w:type="fixed"/>
        <w:tblCellMar>
          <w:top w:w="28" w:type="dxa"/>
          <w:left w:w="28" w:type="dxa"/>
          <w:bottom w:w="28" w:type="dxa"/>
          <w:right w:w="28" w:type="dxa"/>
        </w:tblCellMar>
      </w:tblPr>
      <w:tblGrid>
        <w:gridCol w:w="662"/>
        <w:gridCol w:w="581"/>
        <w:gridCol w:w="587"/>
        <w:gridCol w:w="179"/>
        <w:gridCol w:w="179"/>
        <w:gridCol w:w="25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volatility</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68.6%</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life (in years)</w:t>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6"/>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result of the Equity Exchange, there was $45.7 million in incremental stock-based compensation expense from the modification accounting. That amount, as well as the remaining unrecognized expense associated with the Exchanged Awards at the time of the exchange, began to be recognized on a straight-line basis over the requisite service period for the new RSUs, adjusted as needed for those new RSUs issued for certain Exchanged Awards whose per share exercise prices were lower than the Company’s stock price at the exchange date. The requisite service periods for the new RSUs was determined by the per share exercise price of the corresponding Exchanged Awards, ranging from two to three years. </w:t>
      </w:r>
    </w:p>
    <w:p>
      <w:pPr>
        <w:pStyle w:val="TextBody"/>
        <w:bidi w:val="0"/>
        <w:spacing w:lineRule="auto" w:line="288" w:before="200" w:after="283"/>
        <w:jc w:val="both"/>
        <w:rPr/>
      </w:pPr>
      <w:r>
        <w:rPr>
          <w:rFonts w:ascii="Arial;sans-serif" w:hAnsi="Arial;sans-serif"/>
          <w:b/>
          <w:i/>
          <w:color w:val="000000"/>
          <w:sz w:val="20"/>
        </w:rPr>
        <w:t>Restricted stock units and performance-based restricted stock units</w:t>
      </w:r>
      <w:r>
        <w:rPr>
          <w:color w:val="000000"/>
        </w:rPr>
        <w:t xml:space="preserve">— </w:t>
      </w:r>
      <w:r>
        <w:rPr>
          <w:rFonts w:ascii="Arial;sans-serif" w:hAnsi="Arial;sans-serif"/>
          <w:b w:val="false"/>
          <w:color w:val="000000"/>
          <w:sz w:val="20"/>
        </w:rPr>
        <w:t xml:space="preserve">The fair value of RSUs and PSUs are determined using the fair value of the Company’s common stock on the date of grant. The Company recognizes stock-based compensation expense for RSUs with service-based vesting conditions on a straight-line basis over the requisite service period for each award, which typically vest over a three or four-year period. Management estimates the number of PSUs that are expected to vest based on the anticipated achievement of the specified performance metrics. If the performance-based vesting condition is considered probable of being achieved, the Company recognizes expense over the requisite service period based on the probable outcome of achievement. If the performance goals are not met, or are considered improbable, no compensation cost is recognized, and any previously recognized compensation cost is reversed.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first quarter of 2023, the Company granted 645,833 PSUs to certain executives at target. Each PSU conveys a right to receive one share of the Company’s common stock on the date it vests, provided that the number of PSUs that will ultimately vest may vary from 0% to 150% of target based upon the achievement of the corporate performance metric at the end of the performance period. One quarter of the eligible PSUs vest upon certification of the corporate performance metric by the Board of Directors’ compensation committee in the first quarter of 2024, and the remaining 75% will vest equally over the following 12 quarters thereafter, subject to continual service by the grantee. Total stock-based compensation expense to be recognized may fluctuate during the performance period due to changes in forecasted achievement. The corporate performance metric associated with these awards was considered probable of being achieved since the grant date, and, as of December 31, 2023, management calculated a payout rate equal to 70% of the number of target shares granted based on actual attainment of the metric. </w: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RSU and PSU activity under the 2021 Plan is as follows:</w:t>
      </w:r>
    </w:p>
    <w:tbl>
      <w:tblPr>
        <w:tblW w:w="10205" w:type="dxa"/>
        <w:jc w:val="left"/>
        <w:tblInd w:w="0" w:type="dxa"/>
        <w:tblLayout w:type="fixed"/>
        <w:tblCellMar>
          <w:top w:w="28" w:type="dxa"/>
          <w:left w:w="28" w:type="dxa"/>
          <w:bottom w:w="28" w:type="dxa"/>
          <w:right w:w="28" w:type="dxa"/>
        </w:tblCellMar>
      </w:tblPr>
      <w:tblGrid>
        <w:gridCol w:w="697"/>
        <w:gridCol w:w="612"/>
        <w:gridCol w:w="615"/>
        <w:gridCol w:w="461"/>
        <w:gridCol w:w="461"/>
        <w:gridCol w:w="463"/>
        <w:gridCol w:w="109"/>
        <w:gridCol w:w="109"/>
        <w:gridCol w:w="109"/>
        <w:gridCol w:w="511"/>
        <w:gridCol w:w="1451"/>
        <w:gridCol w:w="284"/>
        <w:gridCol w:w="109"/>
        <w:gridCol w:w="109"/>
        <w:gridCol w:w="109"/>
        <w:gridCol w:w="458"/>
        <w:gridCol w:w="458"/>
        <w:gridCol w:w="460"/>
        <w:gridCol w:w="109"/>
        <w:gridCol w:w="109"/>
        <w:gridCol w:w="109"/>
        <w:gridCol w:w="548"/>
        <w:gridCol w:w="1306"/>
        <w:gridCol w:w="439"/>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RSUs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PSUs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19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 - December 31, 2022</w:t>
            </w:r>
          </w:p>
        </w:tc>
        <w:tc>
          <w:tcPr>
            <w:tcW w:w="13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16,178,101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17.37 </w:t>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Granted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8,159,808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Released</w:t>
            </w:r>
          </w:p>
        </w:tc>
        <w:tc>
          <w:tcPr>
            <w:tcW w:w="13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(6,134,641)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16.42 </w:t>
            </w:r>
          </w:p>
        </w:tc>
        <w:tc>
          <w:tcPr>
            <w:tcW w:w="2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 - December 31, 2023</w:t>
            </w:r>
          </w:p>
        </w:tc>
        <w:tc>
          <w:tcPr>
            <w:tcW w:w="1385"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15,769,577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14.07 </w:t>
            </w:r>
          </w:p>
        </w:tc>
        <w:tc>
          <w:tcPr>
            <w:tcW w:w="2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4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weighted-average grant date fair value of RSUs that were granted during the fiscal years ended December 31, 2022 and 2021, was $13.79 and $27.64, respectively. No PSUs were granted prior to the fiscal year ended December 31, 2023. </w:t>
      </w:r>
    </w:p>
    <w:p>
      <w:pPr>
        <w:pStyle w:val="TextBody"/>
        <w:bidi w:val="0"/>
        <w:spacing w:lineRule="auto" w:line="288" w:before="120" w:after="283"/>
        <w:jc w:val="left"/>
        <w:rPr/>
      </w:pPr>
      <w:r>
        <w:rPr>
          <w:rFonts w:ascii="Arial;sans-serif" w:hAnsi="Arial;sans-serif"/>
          <w:b w:val="false"/>
          <w:color w:val="000000"/>
          <w:sz w:val="20"/>
        </w:rPr>
        <w:t>The aggregate fair value of RSUs that vested during the fiscal years ended December 31, 2023 and 2022 was $68.4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$50.7 million, respectively. No RSUs vested during the fiscal year ended December 31,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December 31, 2023, total unrecognized stock-based compensation expense related to unvested RSUs was $192.4 million, which will be recognized over a weighted average period of 2.7 years.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December 31, 2023, total unrecognized stock-based compensation expense related to unvested PSUs was $2.0 million, which will be recognized over a weighted average period of 1.4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Stock options</w:t>
      </w:r>
      <w:r>
        <w:rPr>
          <w:color w:val="000000"/>
        </w:rPr>
        <w:t xml:space="preserve">— </w:t>
      </w:r>
      <w:r>
        <w:rPr>
          <w:rFonts w:ascii="Arial;sans-serif" w:hAnsi="Arial;sans-serif"/>
          <w:b w:val="false"/>
          <w:color w:val="000000"/>
          <w:sz w:val="20"/>
        </w:rPr>
        <w:t>The Company may grant stock options at exercise prices not less than the fair market value at the date of grant. These options generally expire 10 years from the date of grant. The Company recognizes stock-based compensation expense on a straight-line basis over the requisite service period for each award, which is generally even over four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summary of activity for stock options having only service-based vesting conditions under the Equity Incentive Plans:</w:t>
      </w:r>
    </w:p>
    <w:tbl>
      <w:tblPr>
        <w:tblW w:w="10205" w:type="dxa"/>
        <w:jc w:val="left"/>
        <w:tblInd w:w="0" w:type="dxa"/>
        <w:tblLayout w:type="fixed"/>
        <w:tblCellMar>
          <w:top w:w="28" w:type="dxa"/>
          <w:left w:w="28" w:type="dxa"/>
          <w:bottom w:w="28" w:type="dxa"/>
          <w:right w:w="28" w:type="dxa"/>
        </w:tblCellMar>
      </w:tblPr>
      <w:tblGrid>
        <w:gridCol w:w="861"/>
        <w:gridCol w:w="755"/>
        <w:gridCol w:w="758"/>
        <w:gridCol w:w="594"/>
        <w:gridCol w:w="464"/>
        <w:gridCol w:w="465"/>
        <w:gridCol w:w="109"/>
        <w:gridCol w:w="109"/>
        <w:gridCol w:w="109"/>
        <w:gridCol w:w="407"/>
        <w:gridCol w:w="970"/>
        <w:gridCol w:w="228"/>
        <w:gridCol w:w="109"/>
        <w:gridCol w:w="109"/>
        <w:gridCol w:w="109"/>
        <w:gridCol w:w="732"/>
        <w:gridCol w:w="732"/>
        <w:gridCol w:w="734"/>
        <w:gridCol w:w="109"/>
        <w:gridCol w:w="109"/>
        <w:gridCol w:w="109"/>
        <w:gridCol w:w="297"/>
        <w:gridCol w:w="984"/>
        <w:gridCol w:w="243"/>
      </w:tblGrid>
      <w:tr>
        <w:trPr/>
        <w:tc>
          <w:tcPr>
            <w:tcW w:w="86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Options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Remaining 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Aggregate Intrinsic Value </w:t>
              <w:br/>
              <w:t>(In Thousands)</w:t>
            </w:r>
          </w:p>
        </w:tc>
      </w:tr>
      <w:tr>
        <w:trPr/>
        <w:tc>
          <w:tcPr>
            <w:tcW w:w="237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 December 31, 2022</w:t>
            </w:r>
          </w:p>
        </w:tc>
        <w:tc>
          <w:tcPr>
            <w:tcW w:w="105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10,283,771 </w:t>
            </w:r>
          </w:p>
        </w:tc>
        <w:tc>
          <w:tcPr>
            <w:tcW w:w="46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22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66,234 </w:t>
            </w:r>
          </w:p>
        </w:tc>
        <w:tc>
          <w:tcPr>
            <w:tcW w:w="24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Granted </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Exercised </w:t>
            </w:r>
          </w:p>
        </w:tc>
        <w:tc>
          <w:tcPr>
            <w:tcW w:w="105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(5,477,153)</w:t>
            </w:r>
          </w:p>
        </w:tc>
        <w:tc>
          <w:tcPr>
            <w:tcW w:w="4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2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(235,597)</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Balance - December 31, 2023 </w:t>
            </w:r>
          </w:p>
        </w:tc>
        <w:tc>
          <w:tcPr>
            <w:tcW w:w="105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4,571,021 </w:t>
            </w:r>
          </w:p>
        </w:tc>
        <w:tc>
          <w:tcPr>
            <w:tcW w:w="46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22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44,309 </w:t>
            </w:r>
          </w:p>
        </w:tc>
        <w:tc>
          <w:tcPr>
            <w:tcW w:w="24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Vested &amp; expected to vest as of December 31, 2023 </w:t>
            </w:r>
          </w:p>
        </w:tc>
        <w:tc>
          <w:tcPr>
            <w:tcW w:w="10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4,571,021 </w:t>
            </w:r>
          </w:p>
        </w:tc>
        <w:tc>
          <w:tcPr>
            <w:tcW w:w="4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44,309 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4"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Exercisable as of December 31, 2023 </w:t>
            </w:r>
          </w:p>
        </w:tc>
        <w:tc>
          <w:tcPr>
            <w:tcW w:w="1058" w:type="dxa"/>
            <w:gridSpan w:val="2"/>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4,405,278 </w:t>
            </w:r>
          </w:p>
        </w:tc>
        <w:tc>
          <w:tcPr>
            <w:tcW w:w="465"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0"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228"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43,157 </w:t>
            </w:r>
          </w:p>
        </w:tc>
        <w:tc>
          <w:tcPr>
            <w:tcW w:w="243"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were no stock options granted during the fiscal years ended December 31, 2023 or 2022. The weighted average grant date fair value of stock options granted during the fiscal year ended December 31, 2021, was $16.01 per share.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aggregate intrinsic value of options exercised during the fiscal years ended December 31, 2023, 2022, and 2021 was $45.6 million, $13.7 million, and $59.7 million, respectively.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decrease in weighted average remaining contractual term during the fiscal year ended December 31, 2023, is due to stock options held by the Company’s former CEO, Mr. Coccari, which will expire if not exercised by the end of the 90-day post-termination exercise window that begins upon completion of his transition agreement in February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total unrecognized stock-based compensation expense related to unvested stock options was immaterial.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estimates the fair value of stock-based compensation for stock options by utilizing the Black-Scholes option-pricing model, which is dependent upon several variables, such as the expected option term, expected volatility of the Company’s stock price over the expected term, expected risk-free interest rate over the expected option term, and expected dividend yield rate over the expected option term. These amounts are estimates and, thus, may not be reflective of actual future results, nor amounts ultimately realized by recipients of these grants. The calculation of grant date fair value of stock options was based on the following weighted average assumptions:</w:t>
      </w:r>
    </w:p>
    <w:tbl>
      <w:tblPr>
        <w:tblW w:w="4545" w:type="dxa"/>
        <w:jc w:val="left"/>
        <w:tblInd w:w="0" w:type="dxa"/>
        <w:tblLayout w:type="fixed"/>
        <w:tblCellMar>
          <w:top w:w="28" w:type="dxa"/>
          <w:left w:w="28" w:type="dxa"/>
          <w:bottom w:w="28" w:type="dxa"/>
          <w:right w:w="28" w:type="dxa"/>
        </w:tblCellMar>
      </w:tblPr>
      <w:tblGrid>
        <w:gridCol w:w="662"/>
        <w:gridCol w:w="581"/>
        <w:gridCol w:w="587"/>
        <w:gridCol w:w="568"/>
        <w:gridCol w:w="568"/>
        <w:gridCol w:w="157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Fiscal Year Ended December 31,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11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volatility</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life (in years)</w:t>
            </w:r>
          </w:p>
        </w:tc>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left"/>
        <w:rPr/>
      </w:pPr>
      <w:r>
        <w:rPr>
          <w:rFonts w:ascii="Arial;sans-serif" w:hAnsi="Arial;sans-serif"/>
          <w:b/>
          <w:i/>
          <w:color w:val="000000"/>
          <w:sz w:val="20"/>
        </w:rPr>
        <w:t>Stock appreciation rights</w:t>
      </w:r>
      <w:r>
        <w:rPr>
          <w:color w:val="000000"/>
        </w:rPr>
        <w:t xml:space="preserve">— </w:t>
      </w:r>
      <w:r>
        <w:rPr>
          <w:rFonts w:ascii="Arial;sans-serif" w:hAnsi="Arial;sans-serif"/>
          <w:b w:val="false"/>
          <w:color w:val="000000"/>
          <w:sz w:val="20"/>
        </w:rPr>
        <w:t>The Company may grant SARs at exercise prices not less than the fair market value at the date of grant. The SARs are liability-classified awards that generally expire 10 years from the date of grant. The Company recognizes stock-based compensation expense on a straight-line basis over the requisite service period for each award, which is generally even over four years. Refer to Note 2 “Summary of Significant Accounting Policies—Stock-Based Compensation” for more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summary of activity for SARs under the Equity Incentive Plans:</w:t>
      </w:r>
    </w:p>
    <w:tbl>
      <w:tblPr>
        <w:tblW w:w="10205" w:type="dxa"/>
        <w:jc w:val="left"/>
        <w:tblInd w:w="0" w:type="dxa"/>
        <w:tblLayout w:type="fixed"/>
        <w:tblCellMar>
          <w:top w:w="28" w:type="dxa"/>
          <w:left w:w="28" w:type="dxa"/>
          <w:bottom w:w="28" w:type="dxa"/>
          <w:right w:w="28" w:type="dxa"/>
        </w:tblCellMar>
      </w:tblPr>
      <w:tblGrid>
        <w:gridCol w:w="886"/>
        <w:gridCol w:w="778"/>
        <w:gridCol w:w="781"/>
        <w:gridCol w:w="439"/>
        <w:gridCol w:w="439"/>
        <w:gridCol w:w="440"/>
        <w:gridCol w:w="109"/>
        <w:gridCol w:w="109"/>
        <w:gridCol w:w="109"/>
        <w:gridCol w:w="419"/>
        <w:gridCol w:w="999"/>
        <w:gridCol w:w="235"/>
        <w:gridCol w:w="109"/>
        <w:gridCol w:w="109"/>
        <w:gridCol w:w="109"/>
        <w:gridCol w:w="757"/>
        <w:gridCol w:w="757"/>
        <w:gridCol w:w="759"/>
        <w:gridCol w:w="109"/>
        <w:gridCol w:w="109"/>
        <w:gridCol w:w="109"/>
        <w:gridCol w:w="388"/>
        <w:gridCol w:w="833"/>
        <w:gridCol w:w="31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SARs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Remaining 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 Value</w:t>
              <w:br/>
              <w:t>(In Thousands)</w:t>
            </w:r>
          </w:p>
        </w:tc>
      </w:tr>
      <w:tr>
        <w:trPr/>
        <w:tc>
          <w:tcPr>
            <w:tcW w:w="2445"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 December 31, 2022</w:t>
            </w:r>
          </w:p>
        </w:tc>
        <w:tc>
          <w:tcPr>
            <w:tcW w:w="87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81,770 </w:t>
            </w:r>
          </w:p>
        </w:tc>
        <w:tc>
          <w:tcPr>
            <w:tcW w:w="4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23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31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Granted </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Exercised </w:t>
            </w:r>
          </w:p>
        </w:tc>
        <w:tc>
          <w:tcPr>
            <w:tcW w:w="87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(67,781)</w:t>
            </w:r>
          </w:p>
        </w:tc>
        <w:tc>
          <w:tcPr>
            <w:tcW w:w="44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23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(9,289)</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Balance - December 31, 2023 </w:t>
            </w:r>
          </w:p>
        </w:tc>
        <w:tc>
          <w:tcPr>
            <w:tcW w:w="87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4,700 </w:t>
            </w:r>
          </w:p>
        </w:tc>
        <w:tc>
          <w:tcPr>
            <w:tcW w:w="440"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23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Vested &amp; expected to vest as of December 31, 2023 </w:t>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4,700 </w:t>
            </w:r>
          </w:p>
        </w:tc>
        <w:tc>
          <w:tcPr>
            <w:tcW w:w="4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DDDDDD"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Exercisable as of December 31, 2023 </w:t>
            </w:r>
          </w:p>
        </w:tc>
        <w:tc>
          <w:tcPr>
            <w:tcW w:w="878" w:type="dxa"/>
            <w:gridSpan w:val="2"/>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4,558 </w:t>
            </w:r>
          </w:p>
        </w:tc>
        <w:tc>
          <w:tcPr>
            <w:tcW w:w="440"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99"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35"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5.97</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14" w:type="dxa"/>
            <w:tcBorders>
              <w:top w:val="doub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were no SARs granted during the fiscal years ended December 31, 2023 or 2022. The weighted average grant date fair value of SARs granted during the fiscal year ended December 31, 2021, was $22.47 per share.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Total aggregate intrinsic value of SARs exercised during the fiscal year ended December 31, 2023 was $0.3 million and immaterial during the fiscal years ended December 31, 2022 and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2023, total unrecognized stock-based compensation expense related to unvested SARs was immaterial.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estimates the fair value of stock-based compensation for SARs by utilizing the Black-Scholes option-pricing model as described above. The calculation of grant date fair value was based on the following weighted average assumptions:</w:t>
      </w:r>
    </w:p>
    <w:tbl>
      <w:tblPr>
        <w:tblW w:w="4545" w:type="dxa"/>
        <w:jc w:val="left"/>
        <w:tblInd w:w="0" w:type="dxa"/>
        <w:tblLayout w:type="fixed"/>
        <w:tblCellMar>
          <w:top w:w="28" w:type="dxa"/>
          <w:left w:w="28" w:type="dxa"/>
          <w:bottom w:w="28" w:type="dxa"/>
          <w:right w:w="28" w:type="dxa"/>
        </w:tblCellMar>
      </w:tblPr>
      <w:tblGrid>
        <w:gridCol w:w="662"/>
        <w:gridCol w:w="581"/>
        <w:gridCol w:w="587"/>
        <w:gridCol w:w="568"/>
        <w:gridCol w:w="568"/>
        <w:gridCol w:w="157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Fiscal Year Ended December 31,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11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volatility</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life (in years)</w:t>
            </w:r>
          </w:p>
        </w:tc>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Performance-based stock options</w:t>
      </w:r>
      <w:r>
        <w:rPr>
          <w:color w:val="000000"/>
        </w:rPr>
        <w:t xml:space="preserve">— </w:t>
      </w:r>
      <w:r>
        <w:rPr>
          <w:rFonts w:ascii="Arial;sans-serif" w:hAnsi="Arial;sans-serif"/>
          <w:b w:val="false"/>
          <w:color w:val="000000"/>
          <w:sz w:val="20"/>
        </w:rPr>
        <w:t>Under the Equity Incentive Plans, the Company may grant share-based awards whose vesting is contingent on meeting various departmental or company-wide performance goals, such as the achievement of certain sales targets or an IPO event, in lieu of or in addition to a service-based vesting condition (“Performance-Based Options”). Such awards are generally granted with an exercise price equal to the fair market value of the underlying common stock share on the date of grant and have a contractual term of 10 years. If vesting is dependent on satisfying a performance condition that is probable of being achieved, the Company estimates the expected term as the midpoint between the time at which the performance conditions are probable of being satisfied and the contractual term of the award. If vesting is dependent on satisfying a performance condition that is not probable of being achieved and the service period is not explicitly stated, the Company estimates the expected term as the contractual term. The remaining inputs to the Black-Scholes option pricing model used to determine grant date fair value, including risk-free interest, expected volatility, and expected dividend yield, are calculated using the same method as that used for stock options with service-based vesting conditions. Grants for Performance-Based Options are made out of the same pool of stock options available for future issuance under the Equity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Compensation expense for Performance-Based Options is based on the grant date fair market value. The Company recognizes expense for Performance-Based Options having either (a) multiple performance-based vesting conditions, or (b) performance and graded service-based vesting conditions, by separately attributing each vesting tranche of the award over the requisite service period applicable to each vesting condition. Management’s estimate of the number of shares expected to vest is based on the anticipated achievement of the specified performance goals. If the performance-based vesting condition is considered probable of being achieved, the Company recognizes expense over the remaining service period based on the probable outcome of achievement. If the performance goals are not met, no compensation cost is recognized, and any previously recognized compensation cost is reversed. For awards with both performance and service-based vesting conditions where the performance condition is considered improbable of being achieved, the Company does not recognize expense until the performance condition is satisfied, after which time expense is recognized over the requisite service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had one Performance-Based Option outstanding as of December 31, 2023.The following table summarizes the activities of Performance-Based Options under the Equity Incentive Plans: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684"/>
        <w:gridCol w:w="687"/>
        <w:gridCol w:w="745"/>
        <w:gridCol w:w="745"/>
        <w:gridCol w:w="746"/>
        <w:gridCol w:w="109"/>
        <w:gridCol w:w="109"/>
        <w:gridCol w:w="109"/>
        <w:gridCol w:w="369"/>
        <w:gridCol w:w="880"/>
        <w:gridCol w:w="207"/>
        <w:gridCol w:w="109"/>
        <w:gridCol w:w="109"/>
        <w:gridCol w:w="109"/>
        <w:gridCol w:w="655"/>
        <w:gridCol w:w="655"/>
        <w:gridCol w:w="656"/>
        <w:gridCol w:w="109"/>
        <w:gridCol w:w="109"/>
        <w:gridCol w:w="109"/>
        <w:gridCol w:w="358"/>
        <w:gridCol w:w="768"/>
        <w:gridCol w:w="289"/>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Performance-Based Options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 Average Remaining 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 Intrinsic Value</w:t>
              <w:br/>
              <w:t>(In Thousands)</w:t>
            </w:r>
          </w:p>
        </w:tc>
      </w:tr>
      <w:tr>
        <w:trPr/>
        <w:tc>
          <w:tcPr>
            <w:tcW w:w="21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 December 31, 2022</w:t>
            </w:r>
          </w:p>
        </w:tc>
        <w:tc>
          <w:tcPr>
            <w:tcW w:w="1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7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14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Canceled</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Balance - December 31, 2023 </w:t>
            </w:r>
          </w:p>
        </w:tc>
        <w:tc>
          <w:tcPr>
            <w:tcW w:w="14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7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0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Vested &amp; expected to vest as of December 31, 2023 </w:t>
            </w:r>
          </w:p>
        </w:tc>
        <w:tc>
          <w:tcPr>
            <w:tcW w:w="14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Exercisable as of December 31, 2023 </w:t>
            </w:r>
          </w:p>
        </w:tc>
        <w:tc>
          <w:tcPr>
            <w:tcW w:w="1490"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26,041 </w:t>
            </w:r>
          </w:p>
        </w:tc>
        <w:tc>
          <w:tcPr>
            <w:tcW w:w="74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07"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28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2023, total unrecognized stock-based compensation expense related to unvested Performance-Based Options was immaterial.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Employee stock purchase plan</w:t>
      </w:r>
      <w:r>
        <w:rPr>
          <w:color w:val="000000"/>
        </w:rPr>
        <w:t xml:space="preserve">— </w:t>
      </w:r>
      <w:r>
        <w:rPr>
          <w:rFonts w:ascii="Arial;sans-serif" w:hAnsi="Arial;sans-serif"/>
          <w:b w:val="false"/>
          <w:color w:val="000000"/>
          <w:sz w:val="20"/>
        </w:rPr>
        <w:t xml:space="preserve">The 2021 Employee Stock Purchase Plan (the “ESPP”) became effective on October 29, 2021. The Company initially reserved 2,800,000 shares of the Company's common stock under the ESPP. Shares reserved for issuance shall increase on the first day of the fiscal year, beginning in fiscal 2023, in an amount equal to the least of 1% of the outstanding shares of common stock on the last day of the immediately preceding fiscal year, three times the initial number of shares reserved under the ESPP, or a lesser amount determined by the Company’s Board of Directors or compensation committee. On January 1, 2023, the shares available for future grants under the ESPP automatically increased by 1,450,137 pursuant to the above evergreen provision of the 2021 ESPP.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ESPP allows eligible employees to purchase shares of the Company’s common stock at a discount of 15% during an offering period. Offering periods are 24-month periods beginning on the first trading day on or after May 20 or November 20 (defined as the enrollment date). Each offering period has four purchase periods which last approximately 6 months, or the length of time between exercise dates (defined as the first trading day on or after May 20 and November 20 of each purchase period), except that the first purchase period of any offering period is the time between the enrollment date and first exercise date. At the start of an offering period, eligible employees may elect to contribute up to 15% of their eligible compensation each payroll period during that offering period to purchase shares of common stock in accordance with the ESPP.</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On each exercise date, eligible employees will purchase the Company’s common stock at a price per share equal to 85% of the lesser of the fair market value of the Company’s common stock on (i) the enrollment date or (ii) the exercise date. During the fiscal year ended December 31, 2023, 1,029,344 shares of common stock were issued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the event that the fair market value per share of the Company’s common stock at the end of a six-month purchase period is lower than the fair market value per share at the first day of the related offering period, the plan’s reset provision cancels the current offering period immediately after the purchase date and automatically re-enrolls participants in a new offering period. During the fiscal years ended December 31, 2023 and 2022, ESPP resets resulted in total modification charges of $5.9 million and $3.4 million, respectively, to be recognized on a straight-line basis over the new, respective offering periods.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weighted-average assumptions used in the Black-Scholes option-pricing model to estimate the grant date fair value of employee stock purchase rights granted under new ESPP offering periods in each year:</w:t>
      </w:r>
    </w:p>
    <w:p>
      <w:pPr>
        <w:pStyle w:val="TextBody"/>
        <w:bidi w:val="0"/>
        <w:spacing w:before="0" w:after="0"/>
        <w:jc w:val="left"/>
        <w:rPr/>
      </w:pPr>
      <w:r>
        <w:rPr/>
      </w:r>
    </w:p>
    <w:tbl>
      <w:tblPr>
        <w:tblW w:w="4640" w:type="dxa"/>
        <w:jc w:val="left"/>
        <w:tblInd w:w="0" w:type="dxa"/>
        <w:tblLayout w:type="fixed"/>
        <w:tblCellMar>
          <w:top w:w="28" w:type="dxa"/>
          <w:left w:w="28" w:type="dxa"/>
          <w:bottom w:w="28" w:type="dxa"/>
          <w:right w:w="28" w:type="dxa"/>
        </w:tblCellMar>
      </w:tblPr>
      <w:tblGrid>
        <w:gridCol w:w="662"/>
        <w:gridCol w:w="581"/>
        <w:gridCol w:w="587"/>
        <w:gridCol w:w="190"/>
        <w:gridCol w:w="190"/>
        <w:gridCol w:w="190"/>
        <w:gridCol w:w="176"/>
        <w:gridCol w:w="176"/>
        <w:gridCol w:w="176"/>
        <w:gridCol w:w="190"/>
        <w:gridCol w:w="190"/>
        <w:gridCol w:w="190"/>
        <w:gridCol w:w="176"/>
        <w:gridCol w:w="176"/>
        <w:gridCol w:w="176"/>
        <w:gridCol w:w="180"/>
        <w:gridCol w:w="180"/>
        <w:gridCol w:w="2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Fiscal Year Ended December 31, </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5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0.3%</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68.5%</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w:t>
            </w:r>
          </w:p>
        </w:tc>
      </w:tr>
      <w:tr>
        <w:trPr/>
        <w:tc>
          <w:tcPr>
            <w:tcW w:w="1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life (in years)</w:t>
            </w:r>
          </w:p>
        </w:tc>
        <w:tc>
          <w:tcPr>
            <w:tcW w:w="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5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December 31, 2023, total unrecognized compensation cost for the ESPP was $8.1 million, which will be recognized over a weighted average period of 1.5 years.</w:t>
      </w:r>
    </w:p>
    <w:p>
      <w:pPr>
        <w:pStyle w:val="TextBody"/>
        <w:bidi w:val="0"/>
        <w:spacing w:lineRule="auto" w:line="288" w:before="120" w:after="283"/>
        <w:jc w:val="left"/>
        <w:rPr/>
      </w:pPr>
      <w:r>
        <w:rPr>
          <w:rFonts w:ascii="Arial;sans-serif" w:hAnsi="Arial;sans-serif"/>
          <w:b/>
          <w:i/>
          <w:color w:val="000000"/>
          <w:sz w:val="20"/>
        </w:rPr>
        <w:t>Other equity transactions</w:t>
      </w:r>
      <w:r>
        <w:rPr>
          <w:color w:val="000000"/>
        </w:rPr>
        <w:t xml:space="preserve">— </w:t>
      </w:r>
      <w:r>
        <w:rPr>
          <w:rFonts w:ascii="Arial;sans-serif" w:hAnsi="Arial;sans-serif"/>
          <w:b w:val="false"/>
          <w:color w:val="000000"/>
          <w:sz w:val="20"/>
          <w:shd w:fill="FFFFFF" w:val="clear"/>
        </w:rPr>
        <w:t>During the fiscal year ended December 31, 2021, the Company issued 61,300 shares of Udemy restricted common stock to a former executive of CorpU at a grant date fair v</w:t>
      </w:r>
      <w:r>
        <w:rPr>
          <w:rFonts w:ascii="Arial;sans-serif" w:hAnsi="Arial;sans-serif"/>
          <w:b w:val="false"/>
          <w:color w:val="000000"/>
          <w:sz w:val="20"/>
        </w:rPr>
        <w:t>alue per share of $34.14. As a result, the Company will recognize $2.1 million in total stock-based compensation expense on a straight line basis from August 2021 through August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fiscal year ended December 31, 2021, the Company facilitated a tender offer for certain eligible employees to sell 236,086 vested stock options and outstanding shares of common stock to an existing investor at a per share price of $23.75 per share. The Company recorded stock-based compensation of $1.6 million during the fiscal year ended December 31, 2021, in its consolidated statements of operations for the difference between the price paid and the fair value of the Company’s common stock on the date of the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Additionally, during the fiscal year ended December 31, 2021, the Company waived its right of first refusal and transfer restrictions with respect to certain transfers of outstanding common stock. Where the Company has concluded that such transfers included a deemed compensatory element as a result of both the Company’s role in facilitating the transfers and the buyers of the shares transferred having a pre-existing economic interest in the Company’s equity, the Company recorded stock-based compensation expense for the difference between the price paid and the fair market value on the date of the transaction. The Company recorded $4.0 million of stock-based compensation expense for such transactions during the fiscal year ended December 31,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stock-based compensation expense included in the consolidated statements of operations was as follows (in thousands):</w:t>
      </w:r>
    </w:p>
    <w:tbl>
      <w:tblPr>
        <w:tblW w:w="6732" w:type="dxa"/>
        <w:jc w:val="left"/>
        <w:tblInd w:w="0" w:type="dxa"/>
        <w:tblLayout w:type="fixed"/>
        <w:tblCellMar>
          <w:top w:w="28" w:type="dxa"/>
          <w:left w:w="28" w:type="dxa"/>
          <w:bottom w:w="28" w:type="dxa"/>
          <w:right w:w="28" w:type="dxa"/>
        </w:tblCellMar>
      </w:tblPr>
      <w:tblGrid>
        <w:gridCol w:w="1151"/>
        <w:gridCol w:w="1011"/>
        <w:gridCol w:w="1018"/>
        <w:gridCol w:w="196"/>
        <w:gridCol w:w="646"/>
        <w:gridCol w:w="109"/>
        <w:gridCol w:w="109"/>
        <w:gridCol w:w="109"/>
        <w:gridCol w:w="109"/>
        <w:gridCol w:w="196"/>
        <w:gridCol w:w="646"/>
        <w:gridCol w:w="109"/>
        <w:gridCol w:w="109"/>
        <w:gridCol w:w="109"/>
        <w:gridCol w:w="109"/>
        <w:gridCol w:w="196"/>
        <w:gridCol w:w="64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capitalized $9.0 million and $5.8 million of $2.5 million of stock-based compensation expense as capitalized software during the fiscal years ended December 31,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13. Net loss per share</w:t>
      </w:r>
    </w:p>
    <w:p>
      <w:pPr>
        <w:pStyle w:val="TextBody"/>
        <w:bidi w:val="0"/>
        <w:spacing w:lineRule="auto" w:line="28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the calculation of basic and diluted net loss per share attributable to common stockholders (in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4"/>
        <w:gridCol w:w="1917"/>
        <w:gridCol w:w="1934"/>
        <w:gridCol w:w="217"/>
        <w:gridCol w:w="834"/>
        <w:gridCol w:w="109"/>
        <w:gridCol w:w="109"/>
        <w:gridCol w:w="109"/>
        <w:gridCol w:w="109"/>
        <w:gridCol w:w="217"/>
        <w:gridCol w:w="834"/>
        <w:gridCol w:w="109"/>
        <w:gridCol w:w="109"/>
        <w:gridCol w:w="109"/>
        <w:gridCol w:w="109"/>
        <w:gridCol w:w="219"/>
        <w:gridCol w:w="742"/>
        <w:gridCol w:w="155"/>
      </w:tblGrid>
      <w:tr>
        <w:trPr/>
        <w:tc>
          <w:tcPr>
            <w:tcW w:w="226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6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Denominator: </w:t>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Weighted-average shares used in computing net loss per share attributable to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150,098,776 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140,873,504 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54,972,827 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per share attributable to common stockholders</w:t>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 and diluted</w:t>
            </w:r>
          </w:p>
        </w:tc>
        <w:tc>
          <w:tcPr>
            <w:tcW w:w="217"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4"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55"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following potentially dilutive securities were excluded from the computation of diluted net loss per share </w:t>
      </w:r>
      <w:r>
        <w:rPr>
          <w:rFonts w:ascii="Arial;sans-serif" w:hAnsi="Arial;sans-serif"/>
          <w:b w:val="false"/>
          <w:color w:val="000000"/>
          <w:sz w:val="20"/>
        </w:rPr>
        <w:t>attributable to common stockholders</w:t>
      </w:r>
      <w:r>
        <w:rPr>
          <w:color w:val="000000"/>
        </w:rPr>
        <w:t xml:space="preserve"> </w:t>
      </w:r>
      <w:r>
        <w:rPr>
          <w:rFonts w:ascii="Arial;sans-serif" w:hAnsi="Arial;sans-serif"/>
          <w:b w:val="false"/>
          <w:color w:val="000000"/>
          <w:sz w:val="20"/>
          <w:shd w:fill="FFFFFF" w:val="clear"/>
        </w:rPr>
        <w:t>calculations, because the impact of including them would have been anti-dilutive:</w:t>
      </w:r>
    </w:p>
    <w:p>
      <w:pPr>
        <w:pStyle w:val="TextBody"/>
        <w:bidi w:val="0"/>
        <w:spacing w:before="0" w:after="0"/>
        <w:jc w:val="left"/>
        <w:rPr/>
      </w:pPr>
      <w:r>
        <w:rPr/>
      </w:r>
    </w:p>
    <w:tbl>
      <w:tblPr>
        <w:tblW w:w="7661" w:type="dxa"/>
        <w:jc w:val="left"/>
        <w:tblInd w:w="0" w:type="dxa"/>
        <w:tblLayout w:type="fixed"/>
        <w:tblCellMar>
          <w:top w:w="28" w:type="dxa"/>
          <w:left w:w="28" w:type="dxa"/>
          <w:bottom w:w="28" w:type="dxa"/>
          <w:right w:w="28" w:type="dxa"/>
        </w:tblCellMar>
      </w:tblPr>
      <w:tblGrid>
        <w:gridCol w:w="1142"/>
        <w:gridCol w:w="1002"/>
        <w:gridCol w:w="1006"/>
        <w:gridCol w:w="480"/>
        <w:gridCol w:w="481"/>
        <w:gridCol w:w="173"/>
        <w:gridCol w:w="173"/>
        <w:gridCol w:w="173"/>
        <w:gridCol w:w="173"/>
        <w:gridCol w:w="480"/>
        <w:gridCol w:w="481"/>
        <w:gridCol w:w="173"/>
        <w:gridCol w:w="173"/>
        <w:gridCol w:w="173"/>
        <w:gridCol w:w="173"/>
        <w:gridCol w:w="479"/>
        <w:gridCol w:w="482"/>
        <w:gridCol w:w="244"/>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RSUs, PSUs, and restricted stock </w:t>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16,240,802 </w:t>
            </w:r>
          </w:p>
        </w:tc>
        <w:tc>
          <w:tcPr>
            <w:tcW w:w="17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16,218,968 </w:t>
            </w:r>
          </w:p>
        </w:tc>
        <w:tc>
          <w:tcPr>
            <w:tcW w:w="17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2,606,351 </w:t>
            </w:r>
          </w:p>
        </w:tc>
        <w:tc>
          <w:tcPr>
            <w:tcW w:w="2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4,621,021 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10,333,771 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20,342,259 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Contingently issuable shares under ESPP</w:t>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105,280 </w:t>
            </w:r>
          </w:p>
        </w:tc>
        <w:tc>
          <w:tcPr>
            <w:tcW w:w="17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116,601 </w:t>
            </w:r>
          </w:p>
        </w:tc>
        <w:tc>
          <w:tcPr>
            <w:tcW w:w="17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60,880 </w:t>
            </w:r>
          </w:p>
        </w:tc>
        <w:tc>
          <w:tcPr>
            <w:tcW w:w="2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potentially dilutive securities</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20,967,103 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26,669,340 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23,009,490 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14. Segment and geographic information</w:t>
      </w:r>
    </w:p>
    <w:p>
      <w:pPr>
        <w:pStyle w:val="TextBody"/>
        <w:bidi w:val="0"/>
        <w:spacing w:lineRule="auto" w:line="288" w:before="20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Company’s Chief Executive Officer is its CODM. The CODM reviews separate financial information presented for the Company’s two segments, Enterprise and Consumer, in order to allocate resources and evaluate the Company’s financial performance.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Enterprise segment is focused on helping business and government customers upskill and reskill their employees and public servants. The Consumer segment targets individual learners seeking to obtain hands-on learning, gain valuable job skills to advance their professional careers, or learn a new personal skill. The CODM measures the performance of each segment primarily based on segment revenue and segment gross profit.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Segment gross profit, as presented below, is defined as segment revenue less segment cost of revenue. Segment cost of revenue includes content costs, hosting and platform costs, customer support services, and payment processing fees that are allocable to each segment. Segment gross profit excludes amortization of capitalized software, depreciation, stock-based compensation, and amortization of intangible assets allocated to cost of revenue as the CODM does not include the information in his measurement of the performance of the operating segments. Additionally, the Company does not allocate sales and marketing expenses, research and development expenses, and general and administrative expenses because the CODM does not include the information in his measurement of the performance of the operating segments. The Udemy platform supports the operations of each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CODM does not use asset information by segments to assess performance and make decisions regarding allocation of resources, and the Company does not track its long-lived assets by segment. The geographic identification of these assets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Financial information for each reportable segment was as follows (in thousands):</w:t>
      </w:r>
    </w:p>
    <w:tbl>
      <w:tblPr>
        <w:tblW w:w="8186" w:type="dxa"/>
        <w:jc w:val="left"/>
        <w:tblInd w:w="0" w:type="dxa"/>
        <w:tblLayout w:type="fixed"/>
        <w:tblCellMar>
          <w:top w:w="28" w:type="dxa"/>
          <w:left w:w="28" w:type="dxa"/>
          <w:bottom w:w="28" w:type="dxa"/>
          <w:right w:w="28" w:type="dxa"/>
        </w:tblCellMar>
      </w:tblPr>
      <w:tblGrid>
        <w:gridCol w:w="1576"/>
        <w:gridCol w:w="1383"/>
        <w:gridCol w:w="1405"/>
        <w:gridCol w:w="196"/>
        <w:gridCol w:w="736"/>
        <w:gridCol w:w="109"/>
        <w:gridCol w:w="109"/>
        <w:gridCol w:w="109"/>
        <w:gridCol w:w="109"/>
        <w:gridCol w:w="196"/>
        <w:gridCol w:w="736"/>
        <w:gridCol w:w="109"/>
        <w:gridCol w:w="109"/>
        <w:gridCol w:w="109"/>
        <w:gridCol w:w="109"/>
        <w:gridCol w:w="196"/>
        <w:gridCol w:w="73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104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308,291 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315,059 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328,703 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Segment 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137,227 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63,984 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segment cost of revenue</w:t>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281,752 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253,831 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223,326 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Segment gross profit</w:t>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Enterprise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163,766 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165,805 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169,361 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segment 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375,266 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Reconciliation of segment gross profit to gross profit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capitalized software</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17,497 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12,586 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9,293 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reconciling items</w:t>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27,846 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21,489 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12,698 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gross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419,339 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279,633 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Geographic information</w:t>
      </w:r>
    </w:p>
    <w:p>
      <w:pPr>
        <w:pStyle w:val="TextBody"/>
        <w:bidi w:val="0"/>
        <w:spacing w:lineRule="auto" w:line="288" w:before="200" w:after="283"/>
        <w:jc w:val="left"/>
        <w:rPr/>
      </w:pPr>
      <w:r>
        <w:rPr>
          <w:rFonts w:ascii="Arial;sans-serif" w:hAnsi="Arial;sans-serif"/>
          <w:b w:val="false"/>
          <w:i/>
          <w:color w:val="000000"/>
          <w:sz w:val="20"/>
          <w:shd w:fill="FFFFFF" w:val="clear"/>
        </w:rPr>
        <w:t>Revenue</w:t>
      </w:r>
      <w:r>
        <w:rPr>
          <w:rFonts w:ascii="Arial;sans-serif" w:hAnsi="Arial;sans-serif"/>
          <w:b w:val="false"/>
          <w:color w:val="000000"/>
          <w:sz w:val="20"/>
          <w:shd w:fill="FFFFFF" w:val="clear"/>
        </w:rPr>
        <w:t>: The following table summarizes the revenue by region based on the billing address of the Company’s customers (in thousands):</w:t>
      </w:r>
    </w:p>
    <w:tbl>
      <w:tblPr>
        <w:tblW w:w="5907" w:type="dxa"/>
        <w:jc w:val="left"/>
        <w:tblInd w:w="0" w:type="dxa"/>
        <w:tblLayout w:type="fixed"/>
        <w:tblCellMar>
          <w:top w:w="28" w:type="dxa"/>
          <w:left w:w="28" w:type="dxa"/>
          <w:bottom w:w="28" w:type="dxa"/>
          <w:right w:w="28" w:type="dxa"/>
        </w:tblCellMar>
      </w:tblPr>
      <w:tblGrid>
        <w:gridCol w:w="754"/>
        <w:gridCol w:w="662"/>
        <w:gridCol w:w="669"/>
        <w:gridCol w:w="196"/>
        <w:gridCol w:w="736"/>
        <w:gridCol w:w="109"/>
        <w:gridCol w:w="109"/>
        <w:gridCol w:w="109"/>
        <w:gridCol w:w="109"/>
        <w:gridCol w:w="196"/>
        <w:gridCol w:w="736"/>
        <w:gridCol w:w="109"/>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Fiscal Year Ended December 31,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291,655 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256,547 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199,268 </w:t>
            </w:r>
          </w:p>
        </w:tc>
        <w:tc>
          <w:tcPr>
            <w:tcW w:w="15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 Middle East,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Asia Pacific</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163,747 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137,829 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107,924 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Latin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revenue</w:t>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728,937 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629,097 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515,657 </w:t>
            </w:r>
          </w:p>
        </w:tc>
        <w:tc>
          <w:tcPr>
            <w:tcW w:w="15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Arial;sans-serif" w:hAnsi="Arial;sans-serif"/>
          <w:b w:val="false"/>
          <w:color w:val="000000"/>
          <w:sz w:val="20"/>
        </w:rPr>
        <w:t>Du</w:t>
      </w:r>
      <w:r>
        <w:rPr>
          <w:rFonts w:ascii="Arial;sans-serif" w:hAnsi="Arial;sans-serif"/>
          <w:b w:val="false"/>
          <w:color w:val="000000"/>
          <w:sz w:val="20"/>
          <w:shd w:fill="FFFFFF" w:val="clear"/>
        </w:rPr>
        <w:t>ring the fiscal years ended December 31, 2023, 2022, and 2021</w:t>
      </w:r>
      <w:r>
        <w:rPr>
          <w:rFonts w:ascii="Arial;sans-serif" w:hAnsi="Arial;sans-serif"/>
          <w:b w:val="false"/>
          <w:color w:val="000000"/>
          <w:sz w:val="20"/>
        </w:rPr>
        <w:t xml:space="preserve">, the United States was the only country </w:t>
      </w:r>
      <w:r>
        <w:rPr>
          <w:rFonts w:ascii="Arial;sans-serif" w:hAnsi="Arial;sans-serif"/>
          <w:b w:val="false"/>
          <w:color w:val="000000"/>
          <w:sz w:val="20"/>
          <w:shd w:fill="FFFFFF" w:val="clear"/>
        </w:rPr>
        <w:t xml:space="preserve">to exceed 10% of the Company’s total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pPr>
      <w:r>
        <w:rPr>
          <w:rFonts w:ascii="Arial;sans-serif" w:hAnsi="Arial;sans-serif"/>
          <w:b w:val="false"/>
          <w:i/>
          <w:color w:val="000000"/>
          <w:sz w:val="20"/>
          <w:shd w:fill="FFFFFF" w:val="clear"/>
        </w:rPr>
        <w:t>Long-lived assets</w:t>
      </w:r>
      <w:r>
        <w:rPr>
          <w:rFonts w:ascii="Arial;sans-serif" w:hAnsi="Arial;sans-serif"/>
          <w:b w:val="false"/>
          <w:color w:val="000000"/>
          <w:sz w:val="20"/>
          <w:shd w:fill="FFFFFF" w:val="clear"/>
        </w:rPr>
        <w:t>: The following table presents the Company’s long-lived assets, which consist of tangible property and equipment, net of depreciation, and operating lease ROU assets, by geographic region (in thousands):</w:t>
      </w:r>
    </w:p>
    <w:tbl>
      <w:tblPr>
        <w:tblW w:w="4467" w:type="dxa"/>
        <w:jc w:val="left"/>
        <w:tblInd w:w="0" w:type="dxa"/>
        <w:tblLayout w:type="fixed"/>
        <w:tblCellMar>
          <w:top w:w="28" w:type="dxa"/>
          <w:left w:w="28" w:type="dxa"/>
          <w:bottom w:w="28" w:type="dxa"/>
          <w:right w:w="28" w:type="dxa"/>
        </w:tblCellMar>
      </w:tblPr>
      <w:tblGrid>
        <w:gridCol w:w="635"/>
        <w:gridCol w:w="557"/>
        <w:gridCol w:w="563"/>
        <w:gridCol w:w="241"/>
        <w:gridCol w:w="795"/>
        <w:gridCol w:w="134"/>
        <w:gridCol w:w="109"/>
        <w:gridCol w:w="109"/>
        <w:gridCol w:w="109"/>
        <w:gridCol w:w="239"/>
        <w:gridCol w:w="788"/>
        <w:gridCol w:w="188"/>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75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24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7,007 </w:t>
            </w:r>
          </w:p>
        </w:tc>
        <w:tc>
          <w:tcPr>
            <w:tcW w:w="13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12,782 </w:t>
            </w:r>
          </w:p>
        </w:tc>
        <w:tc>
          <w:tcPr>
            <w:tcW w:w="18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DDDDD"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long-lived assets</w:t>
            </w:r>
          </w:p>
        </w:tc>
        <w:tc>
          <w:tcPr>
            <w:tcW w:w="24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10,116 </w:t>
            </w:r>
          </w:p>
        </w:tc>
        <w:tc>
          <w:tcPr>
            <w:tcW w:w="13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18,338 </w:t>
            </w:r>
          </w:p>
        </w:tc>
        <w:tc>
          <w:tcPr>
            <w:tcW w:w="1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15. Restructuring charges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February 13, 2023, the Company communicated to its employees that in response to current macroeconomic conditions and to further streamline its operations and cost structure, it would reduce its global workforce by approximately 10%. As a result, the Company recognized restructuring charges of $10.1 million in the first quarter of 2023, primarily consisting of $8.9 million of personnel expenses such as salaries and wages, one-time severance payments, and other benefits. The Company also recognized $1.2 million of stock-based compensation expense on the communication date, resulting from impacted employees having no future substantive service requirement but continuing to vest into their equity awards during legally required retention periods as well as certain modifications to enable additional vesting after impacted employees’ termination dates. The restructuring plan was completed in the third quarter of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Restructuring charges are presented as separate operating expenses within the Company’s consolidated statements of operations. The following table summarizes the activity related to the restructuring liability recorded in accrued compensation and benefits in the accompanying consolidated balance sheets (in thousands):</w:t>
      </w:r>
    </w:p>
    <w:p>
      <w:pPr>
        <w:pStyle w:val="TextBody"/>
        <w:bidi w:val="0"/>
        <w:spacing w:before="0" w:after="0"/>
        <w:jc w:val="left"/>
        <w:rPr/>
      </w:pPr>
      <w:r>
        <w:rPr/>
      </w:r>
    </w:p>
    <w:tbl>
      <w:tblPr>
        <w:tblW w:w="3663" w:type="dxa"/>
        <w:jc w:val="left"/>
        <w:tblInd w:w="0" w:type="dxa"/>
        <w:tblLayout w:type="fixed"/>
        <w:tblCellMar>
          <w:top w:w="28" w:type="dxa"/>
          <w:left w:w="28" w:type="dxa"/>
          <w:bottom w:w="28" w:type="dxa"/>
          <w:right w:w="28" w:type="dxa"/>
        </w:tblCellMar>
      </w:tblPr>
      <w:tblGrid>
        <w:gridCol w:w="1043"/>
        <w:gridCol w:w="915"/>
        <w:gridCol w:w="921"/>
        <w:gridCol w:w="205"/>
        <w:gridCol w:w="425"/>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January 1, 2023</w:t>
            </w:r>
          </w:p>
        </w:tc>
        <w:tc>
          <w:tcPr>
            <w:tcW w:w="2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Ending balance— December 31, 2023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shd w:fill="FFFFFF" w:val="clear"/>
        </w:rPr>
      </w:pPr>
      <w:r>
        <w:rPr>
          <w:rFonts w:ascii="Arial;sans-serif" w:hAnsi="Arial;sans-serif"/>
          <w:b/>
          <w:color w:val="000000"/>
          <w:sz w:val="24"/>
          <w:shd w:fill="FFFFFF" w:val="clear"/>
        </w:rPr>
        <w:t>16. Subsequent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February 14, 2024, the Company’s Board of Directors approved a share repurchase program (the “Repurchase Program”) with authorization to purchase up to $100 million of Udemy common stock. The Company may repurchase shares of common stock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number of shares to be repurchased and the timing of the repurchases, if any, will depend on several factors, including, without limitation, business, economic, and market conditions, corporate, legal, and regulatory requirements, prevailing stock prices, trading volume, and other considerations. The Repurchase Program may be suspended or discontinued at any time and does not obligate the Company to acquire any amount of common stock. The Company plans to fund the Repurchase Program with existing cash and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9. Changes in and Disagreements With Accountants on Accounting and Financial Disclosure.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4"/>
        </w:rPr>
      </w:pPr>
      <w:r>
        <w:rPr>
          <w:rFonts w:ascii="Arial;sans-serif" w:hAnsi="Arial;sans-serif"/>
          <w:b/>
          <w:color w:val="000000"/>
          <w:sz w:val="24"/>
        </w:rPr>
        <w:t>Item 9A. Controls and Procedures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Annual Report on Form 10-K. Based upon that evaluation, our Chief Executive Officer and Chief Financial Officer concluded that, as of the end of the period covered by this Annual Report on Form 10-K,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preparation of financial statements for external purposes in accordance with generally accepted accounting principles. Our management conducted an assessment of the effectiveness of the Company’s internal control over financial reporting as of December 31, 2023 based on criteria established in Internal Control - Integrated Framework (2013) issued by the Committee of Sponsoring Organizations of the Treadway Commission. Based on the assessment, our management has concluded that our internal control over financial reporting was effective as of December 31, 2023. The effectiveness of our internal control over financial reporting as of December 31, 2023 has been audited by Deloitte &amp; Touche LLP, an independent registered public accounting firm, as stated in their report, which is included in Item 9A of this Annual Report on Form 10-K.</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changes to our internal control over financial reporting that occurred during the fiscal year ended December 31, 2023 that have materially affected, or are reasonably likely to materially affect, our internal control over financial reporting.</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Inherent limitations on the effectiveness of internal controls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To the stockholders and the Board of Directors of Udemy, Inc.:</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200" w:after="283"/>
        <w:jc w:val="left"/>
        <w:rPr/>
      </w:pPr>
      <w:r>
        <w:rPr>
          <w:rFonts w:ascii="Arial;sans-serif" w:hAnsi="Arial;sans-serif"/>
          <w:b w:val="false"/>
          <w:color w:val="000000"/>
          <w:sz w:val="20"/>
        </w:rPr>
        <w:t xml:space="preserve">We have audited the internal control over financial reporting of Udemy, Inc. and subsidiaries (the “Company”) as of December 31,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sans-serif" w:hAnsi="Arial;sans-serif"/>
          <w:b w:val="false"/>
          <w:i/>
          <w:color w:val="000000"/>
          <w:sz w:val="20"/>
        </w:rPr>
        <w:t>Internal Control — Integrated Framework (2013) issued by COSO.</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26, 2024, expressed an unqualified opinion on those financial statements.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February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9B. Other Information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Securities Trading Plans of Directors and Executive Officers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last fiscal quarter, the following officer, as defined in Rule 16a-1(f) of the Exchange Act, adopted a “Rule 10b5-1 trading arrangement,” as defined in Item 408 of Regulation S-K, as follows: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December 15, 2023, Eren Bali, a member of our Board of Directors, adopted a Rule 10b5-1 trading arrangement providing for the sale of an aggregate of up to 1,230,000 shares of our common stock. The trading arrangement is intended to satisfy the affirmative defense in Rule 10b5-1(c). The first date that sales of any shares are permitted to be sold under the trading arrangement will be March 15, 2024, and subsequent sales under the trading arrangement may occur on a regular basis for the duration of the trading arrangement until February 28, 2025, or earlier if all transactions under the trading arrangement are completed.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than as set forth above, no director or officer, as defined in Rule 16a-1(f), adopted or terminated a “Rule 10b5-1 trading arrangement” or a “non-Rule 10b5-1 trading arrangement,” each as defined in Item 408 of Regulation S-K during the last fiscal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9C. Disclosure Regarding Foreign Jurisdictions that Prevent Inspections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10. Directors, Executive Officers and Corporate 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https://investors.udemy.com/corporate-governance/governance-documents. We intend to satisfy the disclosure requirement under Item 5.05 of Form 8-K regarding amendments and waivers of our Code of Conduct that apply to our principal executive officer, principal financial officer, principal accounting officer or controller, or persons performing similar functions by posting that information on our website address specified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11. Executive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Item 12. Security Ownership of Certain Beneficial Owners and Management and Related Stockholder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Item 13. Certain Relationships and Related Transactions, and Director Independence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14. Principal Accountant Fees and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15. Exhibit and Financial Statement Schedules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documents listed in the Exhibit Index of this Annual Report on Form 10-K are herein incorporated by reference or are filed with this Annual Report on Form 10-K, in each case as indicated therein (numbered in accordance with Item 601 of Regulation S-K).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287"/>
        <w:gridCol w:w="252"/>
        <w:gridCol w:w="254"/>
        <w:gridCol w:w="109"/>
        <w:gridCol w:w="109"/>
        <w:gridCol w:w="109"/>
        <w:gridCol w:w="1758"/>
        <w:gridCol w:w="1247"/>
        <w:gridCol w:w="1251"/>
        <w:gridCol w:w="109"/>
        <w:gridCol w:w="109"/>
        <w:gridCol w:w="109"/>
        <w:gridCol w:w="200"/>
        <w:gridCol w:w="200"/>
        <w:gridCol w:w="201"/>
        <w:gridCol w:w="111"/>
        <w:gridCol w:w="111"/>
        <w:gridCol w:w="111"/>
        <w:gridCol w:w="310"/>
        <w:gridCol w:w="310"/>
        <w:gridCol w:w="311"/>
        <w:gridCol w:w="111"/>
        <w:gridCol w:w="111"/>
        <w:gridCol w:w="111"/>
        <w:gridCol w:w="255"/>
        <w:gridCol w:w="255"/>
        <w:gridCol w:w="256"/>
        <w:gridCol w:w="111"/>
        <w:gridCol w:w="111"/>
        <w:gridCol w:w="111"/>
        <w:gridCol w:w="375"/>
        <w:gridCol w:w="375"/>
        <w:gridCol w:w="455"/>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Number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r>
      <w:tr>
        <w:trPr/>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2, 2021</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Fifth Amended and Restated Investor Rights Agreement by and among the Registrant and certain of its stockholders, dated November 13,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Description of Common Stock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2010 Equity Incentive Plan, as amended,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2021 Equity Incentive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3, 2023</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Form of Performance-Based Restricted Stock Unit Award Agreement under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3, 2023</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2021 Employee Stock Purchase Plan, as amended and restated,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25,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1567"/>
        <w:gridCol w:w="1567"/>
        <w:gridCol w:w="1570"/>
        <w:gridCol w:w="109"/>
        <w:gridCol w:w="109"/>
        <w:gridCol w:w="109"/>
        <w:gridCol w:w="152"/>
        <w:gridCol w:w="150"/>
        <w:gridCol w:w="137"/>
        <w:gridCol w:w="109"/>
        <w:gridCol w:w="109"/>
        <w:gridCol w:w="109"/>
        <w:gridCol w:w="298"/>
        <w:gridCol w:w="298"/>
        <w:gridCol w:w="299"/>
        <w:gridCol w:w="109"/>
        <w:gridCol w:w="109"/>
        <w:gridCol w:w="109"/>
        <w:gridCol w:w="194"/>
        <w:gridCol w:w="194"/>
        <w:gridCol w:w="198"/>
        <w:gridCol w:w="109"/>
        <w:gridCol w:w="109"/>
        <w:gridCol w:w="109"/>
        <w:gridCol w:w="470"/>
        <w:gridCol w:w="359"/>
        <w:gridCol w:w="51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Employee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outsidedirectorcompe.htm">
              <w:r>
                <w:rPr>
                  <w:rStyle w:val="InternetLink"/>
                  <w:rFonts w:ascii="Arial;sans-serif" w:hAnsi="Arial;sans-serif"/>
                  <w:b w:val="false"/>
                  <w:color w:val="0000FF"/>
                  <w:sz w:val="20"/>
                  <w:u w:val="single"/>
                </w:rPr>
                <w:t>Outside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Confirmatory Employment Letter by and between the Registrant and Greg Brown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January 9,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Confirmatory Employment Letter by and between the Registrant and Sarah Blanchard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Confirmatory Employment Letter by and between the Registrant and Venu Venugopal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333-260042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5, 2021</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Confirmatory Employment Letter by and between the Registrant and Prasad Raje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2,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Confirmatory Employment Letter by and between the Registrant and Genefa Murphy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August 3,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Confirmatory Employment Letter by and between the Registrant and Stephanie Stapleton Sudbury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May 3,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Confirmatory Employment Letter by and between the Registrant and Karen Fascenda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Confirmatory Employment Letter by and between the Registrant and Kenneth Hirschman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Confirmatory Employment Letter by and between the Registrant and Richard Qiu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changeincontrolandse.htm">
              <w:r>
                <w:rPr>
                  <w:rStyle w:val="InternetLink"/>
                  <w:rFonts w:ascii="Arial;sans-serif" w:hAnsi="Arial;sans-serif"/>
                  <w:b w:val="false"/>
                  <w:color w:val="0000FF"/>
                  <w:sz w:val="20"/>
                  <w:u w:val="single"/>
                </w:rPr>
                <w:t>Form of Change in Control and Severance Agreement between the Registrant and its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5"/>
        <w:gridCol w:w="187"/>
        <w:gridCol w:w="188"/>
        <w:gridCol w:w="109"/>
        <w:gridCol w:w="109"/>
        <w:gridCol w:w="109"/>
        <w:gridCol w:w="1934"/>
        <w:gridCol w:w="1656"/>
        <w:gridCol w:w="1662"/>
        <w:gridCol w:w="109"/>
        <w:gridCol w:w="109"/>
        <w:gridCol w:w="109"/>
        <w:gridCol w:w="135"/>
        <w:gridCol w:w="135"/>
        <w:gridCol w:w="136"/>
        <w:gridCol w:w="109"/>
        <w:gridCol w:w="109"/>
        <w:gridCol w:w="109"/>
        <w:gridCol w:w="238"/>
        <w:gridCol w:w="238"/>
        <w:gridCol w:w="239"/>
        <w:gridCol w:w="109"/>
        <w:gridCol w:w="109"/>
        <w:gridCol w:w="109"/>
        <w:gridCol w:w="160"/>
        <w:gridCol w:w="160"/>
        <w:gridCol w:w="161"/>
        <w:gridCol w:w="109"/>
        <w:gridCol w:w="109"/>
        <w:gridCol w:w="109"/>
        <w:gridCol w:w="322"/>
        <w:gridCol w:w="322"/>
        <w:gridCol w:w="462"/>
      </w:tblGrid>
      <w:tr>
        <w:trPr/>
        <w:tc>
          <w:tcPr>
            <w:tcW w:w="2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001-40956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27, 2023</w:t>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dtconsent.htm">
              <w:r>
                <w:rPr>
                  <w:rStyle w:val="InternetLink"/>
                  <w:rFonts w:ascii="Arial;sans-serif" w:hAnsi="Arial;sans-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Powers of Attorney (contained on signature 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k_exx311q42023.htm">
              <w:r>
                <w:rPr>
                  <w:rStyle w:val="InternetLink"/>
                  <w:rFonts w:ascii="Arial;sans-serif" w:hAnsi="Arial;sans-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k_exx312q42023.htm">
              <w:r>
                <w:rPr>
                  <w:rStyle w:val="InternetLink"/>
                  <w:rFonts w:ascii="Arial;sans-serif" w:hAnsi="Arial;sans-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k_exx321q42023.htm">
              <w:r>
                <w:rPr>
                  <w:rStyle w:val="InternetLink"/>
                  <w:rFonts w:ascii="Arial;sans-serif" w:hAnsi="Arial;sans-serif"/>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10xk_exx322q42023.htm">
              <w:r>
                <w:rPr>
                  <w:rStyle w:val="InternetLink"/>
                  <w:rFonts w:ascii="Arial;sans-serif" w:hAnsi="Arial;sans-serif"/>
                  <w:b w:val="false"/>
                  <w:color w:val="0000FF"/>
                  <w:sz w:val="20"/>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demy-amendedclawbackpolic.htm">
              <w:r>
                <w:rPr>
                  <w:rStyle w:val="InternetLink"/>
                  <w:rFonts w:ascii="Arial;sans-serif" w:hAnsi="Arial;sans-serif"/>
                  <w:b w:val="false"/>
                  <w:color w:val="0000FF"/>
                  <w:sz w:val="20"/>
                  <w:u w:val="single"/>
                </w:rPr>
                <w:t xml:space="preserve">Amended and Restated Clawback Policy*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tbl>
      <w:tblPr>
        <w:tblW w:w="10205" w:type="dxa"/>
        <w:jc w:val="left"/>
        <w:tblInd w:w="0" w:type="dxa"/>
        <w:tblLayout w:type="fixed"/>
        <w:tblCellMar>
          <w:top w:w="28" w:type="dxa"/>
          <w:left w:w="28" w:type="dxa"/>
          <w:bottom w:w="28" w:type="dxa"/>
          <w:right w:w="28" w:type="dxa"/>
        </w:tblCellMar>
      </w:tblPr>
      <w:tblGrid>
        <w:gridCol w:w="300"/>
        <w:gridCol w:w="258"/>
        <w:gridCol w:w="260"/>
        <w:gridCol w:w="109"/>
        <w:gridCol w:w="109"/>
        <w:gridCol w:w="109"/>
        <w:gridCol w:w="2156"/>
        <w:gridCol w:w="2117"/>
        <w:gridCol w:w="2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3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    The certifications attached as Exhibits 32.1 and 32.2 that accompany this Form 10-K are deemed furnished and not filed with the Securities and Exchange Commission and are not to be incorporated by reference into any filing of Udemy, Inc. under the Securities Act of 1933, as amended, or the Securities Exchange Act of 1934, as amended, whether made before or after the date of this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16. Form 10–K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238" w:type="dxa"/>
        <w:jc w:val="left"/>
        <w:tblInd w:w="0" w:type="dxa"/>
        <w:tblLayout w:type="fixed"/>
        <w:tblCellMar>
          <w:top w:w="28" w:type="dxa"/>
          <w:left w:w="28" w:type="dxa"/>
          <w:bottom w:w="28" w:type="dxa"/>
          <w:right w:w="28" w:type="dxa"/>
        </w:tblCellMar>
      </w:tblPr>
      <w:tblGrid>
        <w:gridCol w:w="803"/>
        <w:gridCol w:w="704"/>
        <w:gridCol w:w="712"/>
        <w:gridCol w:w="195"/>
        <w:gridCol w:w="195"/>
        <w:gridCol w:w="195"/>
        <w:gridCol w:w="999"/>
        <w:gridCol w:w="999"/>
        <w:gridCol w:w="1436"/>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Udemy, Inc.</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Greg Brown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Greg Brown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Sarah Blanchard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Sarah Blanchard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8ee56d5a4deb4ee7b36a2447ff3c8ce3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POWER OF ATTORNEY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Each person whose signature appears below constitutes and appoints Greg Brown and Sarah Blanchard, and each one of them, as his, her, or their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Annual Report on Form 10-K has been signed by the following persons on behalf of the registrant and in the capacities and on the dates indicated.</w:t>
      </w:r>
    </w:p>
    <w:p>
      <w:pPr>
        <w:pStyle w:val="TextBody"/>
        <w:bidi w:val="0"/>
        <w:spacing w:before="0" w:after="0"/>
        <w:jc w:val="left"/>
        <w:rPr/>
      </w:pPr>
      <w:r>
        <w:rPr/>
      </w:r>
    </w:p>
    <w:tbl>
      <w:tblPr>
        <w:tblW w:w="8722" w:type="dxa"/>
        <w:jc w:val="left"/>
        <w:tblInd w:w="0" w:type="dxa"/>
        <w:tblLayout w:type="fixed"/>
        <w:tblCellMar>
          <w:top w:w="28" w:type="dxa"/>
          <w:left w:w="28" w:type="dxa"/>
          <w:bottom w:w="28" w:type="dxa"/>
          <w:right w:w="28" w:type="dxa"/>
        </w:tblCellMar>
      </w:tblPr>
      <w:tblGrid>
        <w:gridCol w:w="783"/>
        <w:gridCol w:w="687"/>
        <w:gridCol w:w="689"/>
        <w:gridCol w:w="109"/>
        <w:gridCol w:w="109"/>
        <w:gridCol w:w="109"/>
        <w:gridCol w:w="1389"/>
        <w:gridCol w:w="1389"/>
        <w:gridCol w:w="1406"/>
        <w:gridCol w:w="109"/>
        <w:gridCol w:w="109"/>
        <w:gridCol w:w="109"/>
        <w:gridCol w:w="501"/>
        <w:gridCol w:w="501"/>
        <w:gridCol w:w="723"/>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Date</w:t>
            </w:r>
          </w:p>
        </w:tc>
      </w:tr>
      <w:tr>
        <w:trPr/>
        <w:tc>
          <w:tcPr>
            <w:tcW w:w="2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Greg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Greg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Sarah Blanchard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Sarah Blanchard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Sohaib Abbasi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Chairperson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Sohaib Abbasi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Eren Bali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Eren Bali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Heather Hiles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Heather Hiles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Jeffrey Lieberman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Jeffrey Lieberman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Lydia Paterson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Lydia Paterson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Natalie Schechtman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26, 2024</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Natalie Schechtman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10.7</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UDEMY,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OUTSIDE DIRECTOR COMPENSATION POLICY</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(Originally adopted and approved September 15, 2021, and effective as of October 28, 2021; as amended May 12, 2023 and November 16, 2023)</w:t>
      </w:r>
    </w:p>
    <w:p>
      <w:pPr>
        <w:pStyle w:val="TextBody"/>
        <w:bidi w:val="0"/>
        <w:spacing w:lineRule="auto" w:line="240" w:before="240" w:after="283"/>
        <w:ind w:left="0" w:right="0" w:firstLine="720"/>
        <w:jc w:val="left"/>
        <w:rPr/>
      </w:pPr>
      <w:r>
        <w:rPr>
          <w:rFonts w:ascii="Times New Roman;sans-serif" w:hAnsi="Times New Roman;sans-serif"/>
          <w:b w:val="false"/>
          <w:color w:val="000000"/>
          <w:sz w:val="24"/>
        </w:rPr>
        <w:t>Udemy,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believes that providing cash and equity compensation to members of its Board of Directors (the “</w:t>
      </w:r>
      <w:r>
        <w:rPr>
          <w:rFonts w:ascii="Times New Roman;sans-serif" w:hAnsi="Times New Roman;sans-serif"/>
          <w:b/>
          <w:i/>
          <w:color w:val="000000"/>
          <w:sz w:val="24"/>
        </w:rPr>
        <w:t>Board</w:t>
      </w:r>
      <w:r>
        <w:rPr>
          <w:rFonts w:ascii="Times New Roman;sans-serif" w:hAnsi="Times New Roman;sans-serif"/>
          <w:b w:val="false"/>
          <w:color w:val="000000"/>
          <w:sz w:val="24"/>
        </w:rPr>
        <w:t>,” and members of the Board, the “</w:t>
      </w:r>
      <w:r>
        <w:rPr>
          <w:rFonts w:ascii="Times New Roman;sans-serif" w:hAnsi="Times New Roman;sans-serif"/>
          <w:b/>
          <w:i/>
          <w:color w:val="000000"/>
          <w:sz w:val="24"/>
        </w:rPr>
        <w:t>Directors</w:t>
      </w:r>
      <w:r>
        <w:rPr>
          <w:color w:val="000000"/>
        </w:rPr>
        <w:t>”</w:t>
      </w:r>
      <w:r>
        <w:rPr>
          <w:rFonts w:ascii="Times New Roman;sans-serif" w:hAnsi="Times New Roman;sans-serif"/>
          <w:b w:val="false"/>
          <w:color w:val="000000"/>
          <w:sz w:val="24"/>
        </w:rPr>
        <w:t>) represents an effective tool to attract, retain, and reward Directors who are not employees of the Company (the “</w:t>
      </w:r>
      <w:r>
        <w:rPr>
          <w:rFonts w:ascii="Times New Roman;sans-serif" w:hAnsi="Times New Roman;sans-serif"/>
          <w:b/>
          <w:i/>
          <w:color w:val="000000"/>
          <w:sz w:val="24"/>
        </w:rPr>
        <w:t>Outside Directors</w:t>
      </w:r>
      <w:r>
        <w:rPr>
          <w:color w:val="000000"/>
        </w:rPr>
        <w:t>”</w:t>
      </w:r>
      <w:r>
        <w:rPr>
          <w:rFonts w:ascii="Times New Roman;sans-serif" w:hAnsi="Times New Roman;sans-serif"/>
          <w:b w:val="false"/>
          <w:color w:val="000000"/>
          <w:sz w:val="24"/>
        </w:rPr>
        <w:t>). This Outside Director Compensation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any similar term in the equity plan then in place under which such equity award is granted) (such applicable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lineRule="auto" w:line="240" w:before="240" w:after="283"/>
        <w:ind w:left="0" w:right="0" w:firstLine="720"/>
        <w:jc w:val="left"/>
        <w:rPr/>
      </w:pPr>
      <w:r>
        <w:rPr>
          <w:rFonts w:ascii="Times New Roman;sans-serif" w:hAnsi="Times New Roman;sans-serif"/>
          <w:b/>
          <w:color w:val="000000"/>
          <w:sz w:val="24"/>
        </w:rPr>
        <w:t>1.</w:t>
      </w:r>
      <w:r>
        <w:rPr>
          <w:rFonts w:ascii="Times New Roman;sans-serif" w:hAnsi="Times New Roman;sans-serif"/>
          <w:b/>
          <w:color w:val="000000"/>
          <w:sz w:val="24"/>
        </w:rPr>
        <w:t>Cash Compensation</w:t>
      </w:r>
      <w:r>
        <w:rPr>
          <w:rFonts w:ascii="Times New Roman;sans-serif" w:hAnsi="Times New Roman;sans-serif"/>
          <w:b w:val="false"/>
          <w:color w:val="000000"/>
          <w:sz w:val="24"/>
        </w:rPr>
        <w: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Cash Retainers for Service as Outside Director</w:t>
      </w:r>
      <w:r>
        <w:rPr>
          <w:rFonts w:ascii="Times New Roman;sans-serif" w:hAnsi="Times New Roman;sans-serif"/>
          <w:b w:val="false"/>
          <w:color w:val="000000"/>
          <w:sz w:val="24"/>
        </w:rPr>
        <w:t>. Each Outside Director will be paid a cash retainer of $40,000 per year. There are no per-meeting attendance fees for attending Board meetings or meetings of any committee of the Board.</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Annual Cash Retainers for Service as Chairperson, Lead Independent Director, Committee Chair, and Committee Member</w:t>
      </w:r>
      <w:r>
        <w:rPr>
          <w:rFonts w:ascii="Times New Roman;sans-serif" w:hAnsi="Times New Roman;sans-serif"/>
          <w:b w:val="false"/>
          <w:color w:val="000000"/>
          <w:sz w:val="24"/>
        </w:rPr>
        <w:t>. Each Outside Director who serves as the Chairperson, Lead Independent Director, or chair or a member of a committee of the Board will be eligible to earn additional annual fees as follows:</w:t>
      </w:r>
    </w:p>
    <w:p>
      <w:pPr>
        <w:pStyle w:val="TextBody"/>
        <w:bidi w:val="0"/>
        <w:spacing w:before="240" w:after="283"/>
        <w:jc w:val="left"/>
        <w:rPr/>
      </w:pPr>
      <w:r>
        <w:rPr/>
      </w:r>
    </w:p>
    <w:tbl>
      <w:tblPr>
        <w:tblW w:w="6120" w:type="dxa"/>
        <w:jc w:val="left"/>
        <w:tblInd w:w="0" w:type="dxa"/>
        <w:tblLayout w:type="fixed"/>
        <w:tblCellMar>
          <w:top w:w="28" w:type="dxa"/>
          <w:left w:w="28" w:type="dxa"/>
          <w:bottom w:w="28" w:type="dxa"/>
          <w:right w:w="28" w:type="dxa"/>
        </w:tblCellMar>
      </w:tblPr>
      <w:tblGrid>
        <w:gridCol w:w="1878"/>
        <w:gridCol w:w="1652"/>
        <w:gridCol w:w="1659"/>
        <w:gridCol w:w="272"/>
        <w:gridCol w:w="272"/>
        <w:gridCol w:w="387"/>
      </w:tblGrid>
      <w:tr>
        <w:trPr/>
        <w:tc>
          <w:tcPr>
            <w:tcW w:w="187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18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Chairperson of the Board:</w:t>
            </w:r>
          </w:p>
        </w:tc>
        <w:tc>
          <w:tcPr>
            <w:tcW w:w="931"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$60,000</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Lead Independent Director: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$20,000</w:t>
            </w:r>
          </w:p>
        </w:tc>
      </w:tr>
      <w:tr>
        <w:trPr/>
        <w:tc>
          <w:tcPr>
            <w:tcW w:w="518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Chair: </w:t>
            </w:r>
          </w:p>
        </w:tc>
        <w:tc>
          <w:tcPr>
            <w:tcW w:w="931"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$20,000</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Audit Committee: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$10,000</w:t>
            </w:r>
          </w:p>
        </w:tc>
      </w:tr>
      <w:tr>
        <w:trPr/>
        <w:tc>
          <w:tcPr>
            <w:tcW w:w="518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Committee Chair: </w:t>
            </w:r>
          </w:p>
        </w:tc>
        <w:tc>
          <w:tcPr>
            <w:tcW w:w="931"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$14,000</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Compensation Committee: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4"/>
              </w:rPr>
              <w:t>$7,000</w:t>
            </w:r>
          </w:p>
        </w:tc>
      </w:tr>
      <w:tr>
        <w:trPr/>
        <w:tc>
          <w:tcPr>
            <w:tcW w:w="518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Nominating and Governance Committee Chair: </w:t>
            </w:r>
          </w:p>
        </w:tc>
        <w:tc>
          <w:tcPr>
            <w:tcW w:w="931"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4"/>
              </w:rPr>
              <w:t>$8,000</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Member of Nominating and Governance Committee: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4"/>
              </w:rPr>
              <w:t>$4,000</w:t>
            </w:r>
          </w:p>
        </w:tc>
      </w:tr>
    </w:tbl>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Chairperson or Lead Independent Director will receive the annual fee as an Outside Director and the additional annual fee as the Chairperson or Lead Independent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09220"/>
                <wp:effectExtent l="0" t="0" r="0" b="0"/>
                <wp:wrapNone/>
                <wp:docPr id="125" name="Frame124"/>
                <a:graphic xmlns:a="http://schemas.openxmlformats.org/drawingml/2006/main">
                  <a:graphicData uri="http://schemas.microsoft.com/office/word/2010/wordprocessingShape">
                    <wps:wsp>
                      <wps:cNvSpPr txBox="1"/>
                      <wps:spPr>
                        <a:xfrm>
                          <a:off x="0" y="0"/>
                          <a:ext cx="6480175" cy="10922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Each annual cash retainer under this Policy will be paid quarterly in arrears on a prorated basis to each Outside Director who has served in the relevant capacity at any point during the immediately preceding fiscal quarter of the Company (“</w:t>
      </w:r>
      <w:r>
        <w:rPr>
          <w:rFonts w:ascii="Times New Roman;sans-serif" w:hAnsi="Times New Roman;sans-serif"/>
          <w:b/>
          <w:i/>
          <w:color w:val="000000"/>
          <w:sz w:val="24"/>
        </w:rPr>
        <w:t>Fiscal Quarter</w:t>
      </w:r>
      <w:r>
        <w:rPr>
          <w:color w:val="000000"/>
        </w:rPr>
        <w:t>”</w:t>
      </w:r>
      <w:r>
        <w:rPr>
          <w:rFonts w:ascii="Times New Roman;sans-serif" w:hAnsi="Times New Roman;sans-serif"/>
          <w:b w:val="false"/>
          <w:color w:val="000000"/>
          <w:sz w:val="24"/>
        </w:rPr>
        <w:t>), and such payment will be made no later than 30 days following the end of such immediately preceding Fiscal Quarter. For purposes of clarity, an Outside Director who has served as an Outside Director, as a member of an applicable committee (or chair thereof) during only a portion of the relevant Fiscal Quarter will receive a prorated payment of the quarterly payment of the applicable annual cash retainer(s), calculated based on the number of days during such Fiscal Quarter such Outside Director has served in the relevant capacities.</w:t>
      </w:r>
    </w:p>
    <w:p>
      <w:pPr>
        <w:pStyle w:val="TextBody"/>
        <w:bidi w:val="0"/>
        <w:spacing w:lineRule="auto" w:line="240" w:before="240" w:after="283"/>
        <w:ind w:left="0" w:right="0" w:firstLine="720"/>
        <w:jc w:val="left"/>
        <w:rPr/>
      </w:pPr>
      <w:r>
        <w:rPr>
          <w:rFonts w:ascii="Times New Roman;sans-serif" w:hAnsi="Times New Roman;sans-serif"/>
          <w:b/>
          <w:color w:val="000000"/>
          <w:sz w:val="24"/>
        </w:rPr>
        <w:t>2.</w:t>
      </w:r>
      <w:r>
        <w:rPr>
          <w:rFonts w:ascii="Times New Roman;sans-serif" w:hAnsi="Times New Roman;sans-serif"/>
          <w:b/>
          <w:color w:val="000000"/>
          <w:sz w:val="24"/>
        </w:rPr>
        <w:t>Elections to Receive Restricted Stock Units in Lieu of Cash Retainer Payments</w:t>
      </w:r>
      <w:r>
        <w:rPr>
          <w:rFonts w:ascii="Times New Roman;sans-serif" w:hAnsi="Times New Roman;sans-serif"/>
          <w:b w:val="false"/>
          <w:color w:val="000000"/>
          <w:sz w:val="24"/>
        </w:rPr>
        <w:t>.</w:t>
      </w:r>
      <w:r>
        <w:rPr>
          <w:color w:val="000000"/>
        </w:rPr>
        <w:t xml:space="preserve"> </w:t>
      </w:r>
    </w:p>
    <w:p>
      <w:pPr>
        <w:pStyle w:val="TextBody"/>
        <w:bidi w:val="0"/>
        <w:spacing w:lineRule="auto" w:line="240" w:before="240" w:after="283"/>
        <w:ind w:left="0" w:right="0" w:firstLine="99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Retainer Awards</w:t>
      </w:r>
      <w:r>
        <w:rPr>
          <w:rFonts w:ascii="Times New Roman;sans-serif" w:hAnsi="Times New Roman;sans-serif"/>
          <w:b w:val="false"/>
          <w:color w:val="000000"/>
          <w:sz w:val="24"/>
        </w:rPr>
        <w:t>. Each Outside Director may elect to convert all or a portion of his or her cash retainer payments with respect to a calendar year into a number of Restricted Stock Units (“</w:t>
      </w:r>
      <w:r>
        <w:rPr>
          <w:rFonts w:ascii="Times New Roman;sans-serif" w:hAnsi="Times New Roman;sans-serif"/>
          <w:b/>
          <w:i/>
          <w:color w:val="000000"/>
          <w:sz w:val="24"/>
        </w:rPr>
        <w:t>Retainer RSUs</w:t>
      </w:r>
      <w:r>
        <w:rPr>
          <w:color w:val="000000"/>
        </w:rPr>
        <w:t>”</w:t>
      </w:r>
      <w:r>
        <w:rPr>
          <w:rFonts w:ascii="Times New Roman;sans-serif" w:hAnsi="Times New Roman;sans-serif"/>
          <w:b w:val="false"/>
          <w:color w:val="000000"/>
          <w:sz w:val="24"/>
        </w:rPr>
        <w:t>, and an Award of such Retainer RSUs, a “</w:t>
      </w:r>
      <w:r>
        <w:rPr>
          <w:rFonts w:ascii="Times New Roman;sans-serif" w:hAnsi="Times New Roman;sans-serif"/>
          <w:b/>
          <w:i/>
          <w:color w:val="000000"/>
          <w:sz w:val="24"/>
        </w:rPr>
        <w:t>Retainer Award</w:t>
      </w:r>
      <w:r>
        <w:rPr>
          <w:color w:val="000000"/>
        </w:rPr>
        <w:t>”</w:t>
      </w:r>
      <w:r>
        <w:rPr>
          <w:rFonts w:ascii="Times New Roman;sans-serif" w:hAnsi="Times New Roman;sans-serif"/>
          <w:b w:val="false"/>
          <w:color w:val="000000"/>
          <w:sz w:val="24"/>
        </w:rPr>
        <w:t>) with a Value on the date of grant equal to the amount of the applicable cash retainer payments to which the Retainer Award relates, provided that any resulting fraction shall be rounded down to the nearest whole Share (such election, a “</w:t>
      </w:r>
      <w:r>
        <w:rPr>
          <w:rFonts w:ascii="Times New Roman;sans-serif" w:hAnsi="Times New Roman;sans-serif"/>
          <w:b/>
          <w:i/>
          <w:color w:val="000000"/>
          <w:sz w:val="24"/>
        </w:rPr>
        <w:t>Retainer RSU Election</w:t>
      </w:r>
      <w:r>
        <w:rPr>
          <w:color w:val="000000"/>
        </w:rPr>
        <w:t>”</w:t>
      </w:r>
      <w:r>
        <w:rPr>
          <w:rFonts w:ascii="Times New Roman;sans-serif" w:hAnsi="Times New Roman;sans-serif"/>
          <w:b w:val="false"/>
          <w:color w:val="000000"/>
          <w:sz w:val="24"/>
        </w:rPr>
        <w:t>). Retainer Awards shall be subject to certain terms and conditions as provided for in Section 3, below.</w:t>
      </w:r>
    </w:p>
    <w:p>
      <w:pPr>
        <w:pStyle w:val="TextBody"/>
        <w:bidi w:val="0"/>
        <w:spacing w:lineRule="auto" w:line="240" w:before="240" w:after="283"/>
        <w:ind w:left="0" w:right="0" w:firstLine="99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Retainer RSU Election Mechanics</w:t>
      </w:r>
      <w:r>
        <w:rPr>
          <w:rFonts w:ascii="Times New Roman;sans-serif" w:hAnsi="Times New Roman;sans-serif"/>
          <w:b w:val="false"/>
          <w:color w:val="000000"/>
          <w:sz w:val="24"/>
        </w:rPr>
        <w:t>. Each Retainer RSU Election must be submitted to the Company’s Legal department in the form and manner specified by the Board or Compensation Committee. An individual who fails to make a timely Retainer RSU Election shall not receive Retainer Awards and instead shall receive the applicable cash retainer payments. Retainer RSU Elections must comply with the following timing requirements:</w:t>
      </w:r>
    </w:p>
    <w:p>
      <w:pPr>
        <w:pStyle w:val="TextBody"/>
        <w:bidi w:val="0"/>
        <w:spacing w:lineRule="auto" w:line="240" w:before="240" w:after="283"/>
        <w:ind w:left="0" w:right="0" w:firstLine="21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Initial Election</w:t>
      </w:r>
      <w:r>
        <w:rPr>
          <w:rFonts w:ascii="Times New Roman;sans-serif" w:hAnsi="Times New Roman;sans-serif"/>
          <w:b w:val="false"/>
          <w:color w:val="000000"/>
          <w:sz w:val="24"/>
        </w:rPr>
        <w:t>. Each individual who first becomes an Outside Director may make a Retainer RSU Election with respect to cash retainer payments scheduled to be paid in the same calendar year as such individual first becomes an Outside Director (the “</w:t>
      </w:r>
      <w:r>
        <w:rPr>
          <w:rFonts w:ascii="Times New Roman;sans-serif" w:hAnsi="Times New Roman;sans-serif"/>
          <w:b/>
          <w:i/>
          <w:color w:val="000000"/>
          <w:sz w:val="24"/>
        </w:rPr>
        <w:t>Initial Election</w:t>
      </w:r>
      <w:r>
        <w:rPr>
          <w:color w:val="000000"/>
        </w:rPr>
        <w:t>”</w:t>
      </w:r>
      <w:r>
        <w:rPr>
          <w:rFonts w:ascii="Times New Roman;sans-serif" w:hAnsi="Times New Roman;sans-serif"/>
          <w:b w:val="false"/>
          <w:color w:val="000000"/>
          <w:sz w:val="24"/>
        </w:rPr>
        <w:t>). The Initial Election must be submitted to the Company’s Legal department on or prior to the date that the individual first becomes an Outside Director (the “</w:t>
      </w:r>
      <w:r>
        <w:rPr>
          <w:rFonts w:ascii="Times New Roman;sans-serif" w:hAnsi="Times New Roman;sans-serif"/>
          <w:b/>
          <w:i/>
          <w:color w:val="000000"/>
          <w:sz w:val="24"/>
        </w:rPr>
        <w:t>Initial Election Deadline</w:t>
      </w:r>
      <w:r>
        <w:rPr>
          <w:color w:val="000000"/>
        </w:rPr>
        <w:t>”</w:t>
      </w:r>
      <w:r>
        <w:rPr>
          <w:rFonts w:ascii="Times New Roman;sans-serif" w:hAnsi="Times New Roman;sans-serif"/>
          <w:b w:val="false"/>
          <w:color w:val="000000"/>
          <w:sz w:val="24"/>
        </w:rPr>
        <w:t xml:space="preserve">), and the Initial Election shall become irrevocable effective as of the Initial Election Deadline. </w:t>
      </w:r>
    </w:p>
    <w:p>
      <w:pPr>
        <w:pStyle w:val="TextBody"/>
        <w:bidi w:val="0"/>
        <w:spacing w:lineRule="auto" w:line="240" w:before="240" w:after="283"/>
        <w:ind w:left="0" w:right="0" w:firstLine="216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Annual Election</w:t>
      </w:r>
      <w:r>
        <w:rPr>
          <w:rFonts w:ascii="Times New Roman;sans-serif" w:hAnsi="Times New Roman;sans-serif"/>
          <w:b w:val="false"/>
          <w:color w:val="000000"/>
          <w:sz w:val="24"/>
        </w:rPr>
        <w:t>. Subject to the last sentence of this paragraph, by no later than December 31 of each calendar year, or such earlier deadline as may be established by the Board or the Compensation Committee, in its discretion (the “</w:t>
      </w:r>
      <w:r>
        <w:rPr>
          <w:rFonts w:ascii="Times New Roman;sans-serif" w:hAnsi="Times New Roman;sans-serif"/>
          <w:b/>
          <w:i/>
          <w:color w:val="000000"/>
          <w:sz w:val="24"/>
        </w:rPr>
        <w:t>Annual Election Deadline</w:t>
      </w:r>
      <w:r>
        <w:rPr>
          <w:color w:val="000000"/>
        </w:rPr>
        <w:t>”</w:t>
      </w:r>
      <w:r>
        <w:rPr>
          <w:rFonts w:ascii="Times New Roman;sans-serif" w:hAnsi="Times New Roman;sans-serif"/>
          <w:b w:val="false"/>
          <w:color w:val="000000"/>
          <w:sz w:val="24"/>
        </w:rPr>
        <w:t>), each individual who is an Outside Director as of immediately prior to the Annual Election Deadline may make a Retainer RSU Election with respect to cash retainer payments relating to services to be performed in the following calendar year and otherwise scheduled to be paid following the completion of those services (the “</w:t>
      </w:r>
      <w:r>
        <w:rPr>
          <w:rFonts w:ascii="Times New Roman;sans-serif" w:hAnsi="Times New Roman;sans-serif"/>
          <w:b/>
          <w:i/>
          <w:color w:val="000000"/>
          <w:sz w:val="24"/>
        </w:rPr>
        <w:t>Annual Election</w:t>
      </w:r>
      <w:r>
        <w:rPr>
          <w:color w:val="000000"/>
        </w:rPr>
        <w:t>”</w:t>
      </w:r>
      <w:r>
        <w:rPr>
          <w:rFonts w:ascii="Times New Roman;sans-serif" w:hAnsi="Times New Roman;sans-serif"/>
          <w:b w:val="false"/>
          <w:color w:val="000000"/>
          <w:sz w:val="24"/>
        </w:rPr>
        <w:t xml:space="preserve">). The Annual Election must be submitted to the Company’s Legal department on or prior to the applicable Annual Election Deadline and shall become irrevocable effective as of the Annual Election Deadline. For avoidance of doubt, the Annual Election Deadline hereunder for cash retainer payments earned for service in 2024 shall be December 31, 2023. </w:t>
      </w:r>
    </w:p>
    <w:p>
      <w:pPr>
        <w:pStyle w:val="TextBody"/>
        <w:bidi w:val="0"/>
        <w:spacing w:lineRule="auto" w:line="240" w:before="240" w:after="283"/>
        <w:ind w:left="0" w:right="0" w:firstLine="99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Prior to Date of Grant of Retainer Award</w:t>
      </w:r>
      <w:r>
        <w:rPr>
          <w:rFonts w:ascii="Times New Roman;sans-serif" w:hAnsi="Times New Roman;sans-serif"/>
          <w:b w:val="false"/>
          <w:color w:val="000000"/>
          <w:sz w:val="24"/>
        </w:rPr>
        <w:t xml:space="preserve">. If an Outside Director who has made a valid Retainer RSU Election ceases to be an Outside Director prior to the applicable grant date of the Retainer Award to which the Retainer RSU Election relates, as specified in Section 3 of this Policy, the Retainer RSU Election will be treated as cancelled, and the Outside Director will be eligible to receive a prorated payment of the Outside Director’s applicable cash retainer for the Fiscal Quarter to which such cash retainer relates, calculated based on the number of days during the applicable Fiscal Quarter the Outside Director served in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84480"/>
                <wp:effectExtent l="0" t="0" r="0" b="0"/>
                <wp:wrapNone/>
                <wp:docPr id="126" name="Frame125"/>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jc w:val="left"/>
        <w:rPr/>
      </w:pPr>
      <w:r>
        <w:rPr>
          <w:rFonts w:ascii="Times New Roman;sans-serif" w:hAnsi="Times New Roman;sans-serif"/>
          <w:b w:val="false"/>
          <w:color w:val="000000"/>
          <w:sz w:val="24"/>
        </w:rPr>
        <w:t>the relevant capacities, in accordance with Section 1(c) of this Policy (such payment, the “</w:t>
      </w:r>
      <w:r>
        <w:rPr>
          <w:rFonts w:ascii="Times New Roman;sans-serif" w:hAnsi="Times New Roman;sans-serif"/>
          <w:b/>
          <w:i/>
          <w:color w:val="000000"/>
          <w:sz w:val="24"/>
        </w:rPr>
        <w:t>Prorated Cash Retainer Payment</w:t>
      </w:r>
      <w:r>
        <w:rPr>
          <w:color w:val="000000"/>
        </w:rPr>
        <w:t>”</w:t>
      </w:r>
      <w:r>
        <w:rPr>
          <w:rFonts w:ascii="Times New Roman;sans-serif" w:hAnsi="Times New Roman;sans-serif"/>
          <w:b w:val="false"/>
          <w:color w:val="000000"/>
          <w:sz w:val="24"/>
        </w:rPr>
        <w:t xml:space="preserve">). Notwithstanding the foregoing, any Deferral Election (as defined in Section 3(f) of this Policy) that would have applied to a Retainer Award that is not granted due to the cancellation of the applicable Retainer RSU Election will continue to apply to the corresponding Prorated Cash Retainer Payment. </w:t>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ans-serif" w:hAnsi="Times New Roman;sans-serif"/>
          <w:b/>
          <w:color w:val="000000"/>
          <w:sz w:val="24"/>
        </w:rPr>
        <w:t>3.</w:t>
      </w:r>
      <w:r>
        <w:rPr>
          <w:rFonts w:ascii="Times New Roman;sans-serif" w:hAnsi="Times New Roman;sans-serif"/>
          <w:b/>
          <w:color w:val="000000"/>
          <w:sz w:val="24"/>
        </w:rPr>
        <w:t>Equity Compensation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Outside Directors will be eligible to receive all types of Awards (except Incentive Stock Options) under the Plan, including discretionary Awards not covered under this Policy. All grants of Awards to Outside Directors pursuant to Section 3 of this Policy will be automatic and nondiscretionary, except as otherwise provided herein, and will be made in accordance with the following provisions:</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Discretion</w:t>
      </w:r>
      <w:r>
        <w:rPr>
          <w:rFonts w:ascii="Times New Roman;sans-serif" w:hAnsi="Times New Roman;sans-serif"/>
          <w:b w:val="false"/>
          <w:color w:val="000000"/>
          <w:sz w:val="24"/>
        </w:rPr>
        <w:t>. No person will have any discretion to select which Outside Directors will be granted any Awards under this Policy or to determine the number of Shares to be covered by such Awards, except as provided in Sections 3(e) and 10 below.</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Each individual who first becomes an Outside Director will be granted an award of Restricted Stock Units (an “</w:t>
      </w:r>
      <w:r>
        <w:rPr>
          <w:rFonts w:ascii="Times New Roman;sans-serif" w:hAnsi="Times New Roman;sans-serif"/>
          <w:b/>
          <w:i/>
          <w:color w:val="000000"/>
          <w:sz w:val="24"/>
        </w:rPr>
        <w:t>Initial Award</w:t>
      </w:r>
      <w:r>
        <w:rPr>
          <w:color w:val="000000"/>
        </w:rPr>
        <w:t>”</w:t>
      </w:r>
      <w:r>
        <w:rPr>
          <w:rFonts w:ascii="Times New Roman;sans-serif" w:hAnsi="Times New Roman;sans-serif"/>
          <w:b w:val="false"/>
          <w:color w:val="000000"/>
          <w:sz w:val="24"/>
        </w:rPr>
        <w:t>) covering a number of Shares having a Value (as defined below) of $380,000, with any resulting fraction rounded down to the nearest whole Share. The Initial Award will be granted automatically on the first Trading Day on or after the date on which such individual first becomes an Outside Director (the first date as an Outside Director, the “</w:t>
      </w:r>
      <w:r>
        <w:rPr>
          <w:rFonts w:ascii="Times New Roman;sans-serif" w:hAnsi="Times New Roman;sans-serif"/>
          <w:b/>
          <w:i/>
          <w:color w:val="000000"/>
          <w:sz w:val="24"/>
        </w:rPr>
        <w:t>Initial Start Date</w:t>
      </w:r>
      <w:r>
        <w:rPr>
          <w:color w:val="000000"/>
        </w:rPr>
        <w:t>”</w:t>
      </w:r>
      <w:r>
        <w:rPr>
          <w:rFonts w:ascii="Times New Roman;sans-serif" w:hAnsi="Times New Roman;sans-serif"/>
          <w:b w:val="false"/>
          <w:color w:val="000000"/>
          <w:sz w:val="24"/>
        </w:rPr>
        <w:t>), whether through election by the Company’s stockholders or appointment by the Board to fill a vacancy. If an individual was a member of the Board and also an employee, becoming an Outside Director due to termination of employment will not entitle the Outside Director to an Initial Award. Each Initial Award will be scheduled to vest as follows: One third (1/3rd) of the Shares subject to the Initial Award will be scheduled to vest each year following the grant date on the same day of the month as the grant date (or, if there is no corresponding day in a particular month, then the last day of that month), in each case subject to the Outside Director continuing to be an Outside Director through the applicable vesting date.</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Annual Award</w:t>
      </w:r>
      <w:r>
        <w:rPr>
          <w:rFonts w:ascii="Times New Roman;sans-serif" w:hAnsi="Times New Roman;sans-serif"/>
          <w:b w:val="false"/>
          <w:color w:val="000000"/>
          <w:sz w:val="24"/>
        </w:rPr>
        <w:t>. On the first Trading Day immediately following each Annual Meeting of the Company’s stockholders (an “</w:t>
      </w:r>
      <w:r>
        <w:rPr>
          <w:rFonts w:ascii="Times New Roman;sans-serif" w:hAnsi="Times New Roman;sans-serif"/>
          <w:b/>
          <w:i/>
          <w:color w:val="000000"/>
          <w:sz w:val="24"/>
        </w:rPr>
        <w:t>Annual Meeting</w:t>
      </w:r>
      <w:r>
        <w:rPr>
          <w:color w:val="000000"/>
        </w:rPr>
        <w:t>”</w:t>
      </w:r>
      <w:r>
        <w:rPr>
          <w:rFonts w:ascii="Times New Roman;sans-serif" w:hAnsi="Times New Roman;sans-serif"/>
          <w:b w:val="false"/>
          <w:color w:val="000000"/>
          <w:sz w:val="24"/>
        </w:rPr>
        <w:t>), each Outside Director automatically will be granted an award of Restricted Stock Units (an “</w:t>
      </w:r>
      <w:r>
        <w:rPr>
          <w:rFonts w:ascii="Times New Roman;sans-serif" w:hAnsi="Times New Roman;sans-serif"/>
          <w:b/>
          <w:i/>
          <w:color w:val="000000"/>
          <w:sz w:val="24"/>
        </w:rPr>
        <w:t>Annual Award</w:t>
      </w:r>
      <w:r>
        <w:rPr>
          <w:color w:val="000000"/>
        </w:rPr>
        <w:t>”</w:t>
      </w:r>
      <w:r>
        <w:rPr>
          <w:rFonts w:ascii="Times New Roman;sans-serif" w:hAnsi="Times New Roman;sans-serif"/>
          <w:b w:val="false"/>
          <w:color w:val="000000"/>
          <w:sz w:val="24"/>
        </w:rPr>
        <w:t>) covering a number of Shares having a Value of $190,000; provided that the first Annual Award granted to an individual who first becomes an Outside Director will have a Value equal to the product of (A) $190,000 multiplied by (B) a fraction, (i) the numerator of which is the number of fully completed days between the applicable Initial Start Date and the date of the first Annual Meeting to occur after such individual first becomes an Outside Director, and (ii) the denominator of which is 365; and provided further that any resulting fraction shall be rounded down to the nearest whole Share. Each Annual Award will be scheduled to vest in full on the earlier of (i) the one-year anniversary of the grant date or (ii) the date of the next Annual Meeting following the grant date, in each case subject to the Outside Director continuing to be an Outside Director through the applicable vesting date.</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Retainer Awards</w:t>
      </w:r>
      <w:r>
        <w:rPr>
          <w:rFonts w:ascii="Times New Roman;sans-serif" w:hAnsi="Times New Roman;sans-serif"/>
          <w:b w:val="false"/>
          <w:color w:val="000000"/>
          <w:sz w:val="24"/>
        </w:rPr>
        <w:t>. Subject to Section 2(c) of this Policy, Retainer Awards will be granted on March 31, June 30, September 30 and December 31, as applicable, immediately following the end of the Fiscal Quarter for which the corresponding cash retainer payment was earned, except that if such date is not a trading day, the associated grant of the applicable Retainer Award shall occur on the next trading day following such date. Each Retainer Award will be fully vested on the date of grant.</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Additional Terms of Initial Awards, Annual Awards and Retainer Awards</w:t>
      </w:r>
      <w:r>
        <w:rPr>
          <w:rFonts w:ascii="Times New Roman;sans-serif" w:hAnsi="Times New Roman;sans-serif"/>
          <w:b w:val="false"/>
          <w:color w:val="000000"/>
          <w:sz w:val="24"/>
        </w:rPr>
        <w:t xml:space="preserve">. Each Initial Award, Annual Award and Retainer Award will be granted under and subject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84480"/>
                <wp:effectExtent l="0" t="0" r="0" b="0"/>
                <wp:wrapNone/>
                <wp:docPr id="127" name="Frame126"/>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jc w:val="left"/>
        <w:rPr/>
      </w:pPr>
      <w:r>
        <w:rPr>
          <w:rFonts w:ascii="Times New Roman;sans-serif" w:hAnsi="Times New Roman;sans-serif"/>
          <w:b w:val="false"/>
          <w:color w:val="000000"/>
          <w:sz w:val="24"/>
        </w:rPr>
        <w:t>terms and conditions of the Plan and the applicable form of Award Agreement previously approved by the Board or its Compensation Committee, as applicable, for use thereunder. For purposes of this Policy, “</w:t>
      </w:r>
      <w:r>
        <w:rPr>
          <w:rFonts w:ascii="Times New Roman;sans-serif" w:hAnsi="Times New Roman;sans-serif"/>
          <w:b/>
          <w:i/>
          <w:color w:val="000000"/>
          <w:sz w:val="24"/>
        </w:rPr>
        <w:t>Value</w:t>
      </w:r>
      <w:r>
        <w:rPr>
          <w:color w:val="000000"/>
        </w:rPr>
        <w:t xml:space="preserve">” </w:t>
      </w:r>
      <w:r>
        <w:rPr>
          <w:rFonts w:ascii="Times New Roman;sans-serif" w:hAnsi="Times New Roman;sans-serif"/>
          <w:b w:val="false"/>
          <w:color w:val="000000"/>
          <w:sz w:val="24"/>
        </w:rPr>
        <w:t>means the grant date fair value as determined in accordance with U.S. generally accepted accounting principles, or such other methodology the Board or any committee of the Board designed by the Board with appropriate authority (the “</w:t>
      </w:r>
      <w:r>
        <w:rPr>
          <w:rFonts w:ascii="Times New Roman;sans-serif" w:hAnsi="Times New Roman;sans-serif"/>
          <w:b/>
          <w:i/>
          <w:color w:val="000000"/>
          <w:sz w:val="24"/>
        </w:rPr>
        <w:t>Designated Committee</w:t>
      </w:r>
      <w:r>
        <w:rPr>
          <w:color w:val="000000"/>
        </w:rPr>
        <w:t>”</w:t>
      </w:r>
      <w:r>
        <w:rPr>
          <w:rFonts w:ascii="Times New Roman;sans-serif" w:hAnsi="Times New Roman;sans-serif"/>
          <w:b w:val="false"/>
          <w:color w:val="000000"/>
          <w:sz w:val="24"/>
        </w:rPr>
        <w:t>), as applicable, may determine prior to the grant of the applicable Award becoming effective. The Board or the Designated Committee, as applicable and in its discretion, may change and otherwise revise the terms of Initial Awards, Annual Awards and Retainer Awards granted under this Policy, including, without limitation, the number of Shares subject thereto and type of Award.</w:t>
      </w:r>
    </w:p>
    <w:p>
      <w:pPr>
        <w:pStyle w:val="TextBody"/>
        <w:bidi w:val="0"/>
        <w:spacing w:lineRule="auto" w:line="240" w:before="240" w:after="283"/>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Deferral of Awards</w:t>
      </w:r>
      <w:r>
        <w:rPr>
          <w:rFonts w:ascii="Times New Roman;sans-serif" w:hAnsi="Times New Roman;sans-serif"/>
          <w:b w:val="false"/>
          <w:color w:val="000000"/>
          <w:sz w:val="24"/>
        </w:rPr>
        <w:t>. Unless and until otherwise determined by the Board or the Compensation Committee, each Outside Director may elect to defer the delivery of the Shares subject to any Restricted Stock Units granted under this Policy pursuant to an Initial Award, Annual Award or Retainer Award that would otherwise be delivered to such Outside Director on or following the date such Award vests pursuant to the terms of this Section 3, as applicable (the “</w:t>
      </w:r>
      <w:r>
        <w:rPr>
          <w:rFonts w:ascii="Times New Roman;sans-serif" w:hAnsi="Times New Roman;sans-serif"/>
          <w:b/>
          <w:i/>
          <w:color w:val="000000"/>
          <w:sz w:val="24"/>
        </w:rPr>
        <w:t>Deferral Election</w:t>
      </w:r>
      <w:r>
        <w:rPr>
          <w:color w:val="000000"/>
        </w:rPr>
        <w:t>”</w:t>
      </w:r>
      <w:r>
        <w:rPr>
          <w:rFonts w:ascii="Times New Roman;sans-serif" w:hAnsi="Times New Roman;sans-serif"/>
          <w:b w:val="false"/>
          <w:color w:val="000000"/>
          <w:sz w:val="24"/>
        </w:rPr>
        <w:t>).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(as defined below), unless otherwise specifically determined by the Board or the Compensation Committee. Deferral Elections shall be made pursuant to a form of deferral election as approved by the Board or the Compensation Committee.</w:t>
      </w:r>
    </w:p>
    <w:p>
      <w:pPr>
        <w:pStyle w:val="TextBody"/>
        <w:bidi w:val="0"/>
        <w:spacing w:lineRule="auto" w:line="240" w:before="240" w:after="283"/>
        <w:ind w:left="0" w:right="0" w:firstLine="720"/>
        <w:jc w:val="left"/>
        <w:rPr/>
      </w:pPr>
      <w:r>
        <w:rPr>
          <w:rFonts w:ascii="Times New Roman;sans-serif" w:hAnsi="Times New Roman;sans-serif"/>
          <w:b/>
          <w:color w:val="000000"/>
          <w:sz w:val="24"/>
        </w:rPr>
        <w:t>4.</w:t>
      </w:r>
      <w:r>
        <w:rPr>
          <w:rFonts w:ascii="Times New Roman;sans-serif" w:hAnsi="Times New Roman;sans-serif"/>
          <w:b/>
          <w:color w:val="000000"/>
          <w:sz w:val="24"/>
        </w:rPr>
        <w:t>Other Compensation and Benefits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Outside Directors also may be eligible to receive other compensation and benefits, as may be determined by the Board or its Designated Committee, as applicable, from time to time.</w:t>
      </w:r>
    </w:p>
    <w:p>
      <w:pPr>
        <w:pStyle w:val="TextBody"/>
        <w:bidi w:val="0"/>
        <w:spacing w:lineRule="auto" w:line="240" w:before="240" w:after="283"/>
        <w:ind w:left="0" w:right="0" w:firstLine="720"/>
        <w:jc w:val="left"/>
        <w:rPr/>
      </w:pPr>
      <w:r>
        <w:rPr>
          <w:rFonts w:ascii="Times New Roman;sans-serif" w:hAnsi="Times New Roman;sans-serif"/>
          <w:b/>
          <w:color w:val="000000"/>
          <w:sz w:val="24"/>
        </w:rPr>
        <w:t>5.</w:t>
      </w:r>
      <w:r>
        <w:rPr>
          <w:rFonts w:ascii="Times New Roman;sans-serif" w:hAnsi="Times New Roman;sans-serif"/>
          <w:b/>
          <w:color w:val="000000"/>
          <w:sz w:val="24"/>
        </w:rPr>
        <w:t>Change in Control</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In the event of a Change in Control, each Outside Director will fully vest in his or her outstanding Company equity awards as of immediately prior to a Change in Control, including any Initial Awards and Annual Awards, provided that the Outside Director continues to be an Outside Director through the date of the Change in Control.</w:t>
      </w:r>
    </w:p>
    <w:p>
      <w:pPr>
        <w:pStyle w:val="TextBody"/>
        <w:bidi w:val="0"/>
        <w:spacing w:lineRule="auto" w:line="240" w:before="240" w:after="283"/>
        <w:ind w:left="0" w:right="0" w:firstLine="720"/>
        <w:jc w:val="left"/>
        <w:rPr/>
      </w:pPr>
      <w:r>
        <w:rPr>
          <w:rFonts w:ascii="Times New Roman;sans-serif" w:hAnsi="Times New Roman;sans-serif"/>
          <w:b/>
          <w:color w:val="000000"/>
          <w:sz w:val="24"/>
        </w:rPr>
        <w:t>6.</w:t>
      </w:r>
      <w:r>
        <w:rPr>
          <w:rFonts w:ascii="Times New Roman;sans-serif" w:hAnsi="Times New Roman;sans-serif"/>
          <w:b/>
          <w:color w:val="000000"/>
          <w:sz w:val="24"/>
        </w:rPr>
        <w:t>Annual Compensation Limit</w:t>
      </w:r>
      <w:r>
        <w:rPr>
          <w:rFonts w:ascii="Times New Roman;sans-serif" w:hAnsi="Times New Roman;sans-serif"/>
          <w:b w:val="false"/>
          <w:color w:val="000000"/>
          <w:sz w:val="24"/>
        </w:rPr>
        <w:t>. No Outside Director may be granted Awards with Values, and be provided cash retainers or fees, with amounts that, in any Fiscal Year, in the aggregate, exceed $750,000, provided that, in the Fiscal Year containing an Outside Director’s Initial Start Date, such limit will be increased to $1,500,000. Any Awards or other compensation provided to an individual for his or her services as an Employee, or for his or her services as a Consultant other than as an Outside Director, will be excluded for purposes of the foregoing limit.</w:t>
      </w:r>
    </w:p>
    <w:p>
      <w:pPr>
        <w:pStyle w:val="TextBody"/>
        <w:bidi w:val="0"/>
        <w:spacing w:lineRule="auto" w:line="240" w:before="240" w:after="283"/>
        <w:ind w:left="0" w:right="0" w:firstLine="720"/>
        <w:jc w:val="left"/>
        <w:rPr/>
      </w:pPr>
      <w:r>
        <w:rPr>
          <w:rFonts w:ascii="Times New Roman;sans-serif" w:hAnsi="Times New Roman;sans-serif"/>
          <w:b/>
          <w:color w:val="000000"/>
          <w:sz w:val="24"/>
        </w:rPr>
        <w:t>7.</w:t>
      </w:r>
      <w:r>
        <w:rPr>
          <w:rFonts w:ascii="Times New Roman;sans-serif" w:hAnsi="Times New Roman;sans-serif"/>
          <w:b/>
          <w:color w:val="000000"/>
          <w:sz w:val="24"/>
        </w:rPr>
        <w:t>Travel Expenses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Each Outside Director’s reasonable, customary, and properly documented out-of-pocket travel expenses to meetings of the Board and any of its committees, as applicable, will be reimbursed by the Company.</w:t>
      </w:r>
    </w:p>
    <w:p>
      <w:pPr>
        <w:pStyle w:val="TextBody"/>
        <w:bidi w:val="0"/>
        <w:spacing w:lineRule="auto" w:line="240" w:before="240" w:after="283"/>
        <w:ind w:left="0" w:right="0" w:firstLine="720"/>
        <w:jc w:val="left"/>
        <w:rPr/>
      </w:pPr>
      <w:r>
        <w:rPr>
          <w:rFonts w:ascii="Times New Roman;sans-serif" w:hAnsi="Times New Roman;sans-serif"/>
          <w:b/>
          <w:color w:val="000000"/>
          <w:sz w:val="24"/>
        </w:rPr>
        <w:t>8.</w:t>
      </w:r>
      <w:r>
        <w:rPr>
          <w:rFonts w:ascii="Times New Roman;sans-serif" w:hAnsi="Times New Roman;sans-serif"/>
          <w:b/>
          <w:color w:val="000000"/>
          <w:sz w:val="24"/>
        </w:rPr>
        <w:t>Code Section 409A</w:t>
      </w:r>
      <w:r>
        <w:rPr>
          <w:rFonts w:ascii="Times New Roman;sans-serif" w:hAnsi="Times New Roman;sans-serif"/>
          <w:b w:val="false"/>
          <w:color w:val="000000"/>
          <w:sz w:val="24"/>
        </w:rPr>
        <w:t>. Except as provided otherwise in Section 2(c) of this Policy, in no event will cash compensation or expense reimbursement payments under this Policy be paid after the later of (a)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month following the end of the Company’s taxable year in which the compensation is earned or expenses are incurred, as applicable, or (b)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xml:space="preserve">)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 from or otherwise comply with the requirements of Code Section 409A so that none of the compensation to be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84480"/>
                <wp:effectExtent l="0" t="0" r="0" b="0"/>
                <wp:wrapNone/>
                <wp:docPr id="128" name="Frame127"/>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provided hereunder will be subject to the additional tax imposed under Code Section 409A, and any ambiguities or ambiguous terms herein will be interpreted to be so exempt or comply. In no event will the Company Group have any responsibility, liability, or obligation to reimburse, indemnify, or hold harmless an Outside Director or any other person for any taxes imposed, or other costs incurred, as a result of Code Section 409A.</w:t>
      </w:r>
    </w:p>
    <w:p>
      <w:pPr>
        <w:pStyle w:val="TextBody"/>
        <w:bidi w:val="0"/>
        <w:spacing w:lineRule="auto" w:line="240" w:before="240" w:after="283"/>
        <w:ind w:left="0" w:right="0" w:firstLine="720"/>
        <w:jc w:val="left"/>
        <w:rPr/>
      </w:pPr>
      <w:r>
        <w:rPr>
          <w:rFonts w:ascii="Times New Roman;sans-serif" w:hAnsi="Times New Roman;sans-serif"/>
          <w:b/>
          <w:color w:val="000000"/>
          <w:sz w:val="24"/>
        </w:rPr>
        <w:t>9.</w:t>
      </w:r>
      <w:r>
        <w:rPr>
          <w:rFonts w:ascii="Times New Roman;sans-serif" w:hAnsi="Times New Roman;sans-serif"/>
          <w:b/>
          <w:color w:val="000000"/>
          <w:sz w:val="24"/>
        </w:rPr>
        <w:t>Stockholder Approval</w:t>
      </w:r>
      <w:r>
        <w:rPr>
          <w:rFonts w:ascii="Times New Roman;sans-serif" w:hAnsi="Times New Roman;sans-serif"/>
          <w:b w:val="false"/>
          <w:color w:val="000000"/>
          <w:sz w:val="24"/>
        </w:rPr>
        <w:t>. The Policy was approved by the Company’s stockholders prior to the Company’s initial public offering. Unless otherwise required by applicable law, the Policy will not be subject to approval by the Company’s stockholders, including, for the avoidance of doubt, as a result of or in connection with an action taken with respect to this Policy as contemplated in Section 10.</w:t>
      </w:r>
    </w:p>
    <w:p>
      <w:pPr>
        <w:pStyle w:val="TextBody"/>
        <w:bidi w:val="0"/>
        <w:spacing w:lineRule="auto" w:line="240" w:before="240" w:after="283"/>
        <w:ind w:left="0" w:right="0" w:firstLine="720"/>
        <w:jc w:val="left"/>
        <w:rPr/>
      </w:pPr>
      <w:r>
        <w:rPr>
          <w:rFonts w:ascii="Times New Roman;sans-serif" w:hAnsi="Times New Roman;sans-serif"/>
          <w:b/>
          <w:color w:val="000000"/>
          <w:sz w:val="24"/>
        </w:rPr>
        <w:t>10.</w:t>
      </w:r>
      <w:r>
        <w:rPr>
          <w:rFonts w:ascii="Times New Roman;sans-serif" w:hAnsi="Times New Roman;sans-serif"/>
          <w:b/>
          <w:color w:val="000000"/>
          <w:sz w:val="24"/>
        </w:rPr>
        <w:t>Revisions</w:t>
      </w:r>
      <w:r>
        <w:rPr>
          <w:rFonts w:ascii="Times New Roman;sans-serif" w:hAnsi="Times New Roman;sans-serif"/>
          <w:b w:val="false"/>
          <w:color w:val="000000"/>
          <w:sz w:val="24"/>
        </w:rPr>
        <w:t>. The Board or any Designated Committee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in writing between the Outside Director and the Company. Termination of this Policy will not affect the Board’s or the Designated Committee’s ability to exercise the powers granted to it with respect to Awards granted pursuant to this Policy prior to the date of such termination, including without limitation such applicable powers set forth in the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center"/>
        <w:rPr/>
      </w:pPr>
      <w:r>
        <w:rPr/>
      </w:r>
    </w:p>
    <w:p>
      <w:pPr>
        <w:pStyle w:val="TextBody"/>
        <w:bidi w:val="0"/>
        <w:spacing w:before="240" w:after="283"/>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84480"/>
                <wp:effectExtent l="0" t="0" r="0" b="0"/>
                <wp:wrapNone/>
                <wp:docPr id="129" name="Frame128"/>
                <a:graphic xmlns:a="http://schemas.openxmlformats.org/drawingml/2006/main">
                  <a:graphicData uri="http://schemas.microsoft.com/office/word/2010/wordprocessingShape">
                    <wps:wsp>
                      <wps:cNvSpPr txBox="1"/>
                      <wps:spPr>
                        <a:xfrm>
                          <a:off x="0" y="0"/>
                          <a:ext cx="6480175" cy="28448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4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4836-5271-5750.9 - 10/3/2023 10:30:09 AM</w:t>
                      </w:r>
                    </w:p>
                  </w:txbxContent>
                </v:textbox>
                <w10:wrap type="none"/>
              </v:rect>
            </w:pict>
          </mc:Fallback>
        </mc:AlternateContent>
      </w:r>
    </w:p>
    <w:p>
      <w:pPr>
        <w:pStyle w:val="TextBody"/>
        <w:bidi w:val="0"/>
        <w:spacing w:before="5"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UDEMY, INC.</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before="5" w:after="283"/>
        <w:jc w:val="left"/>
        <w:rPr/>
      </w:pPr>
      <w:r>
        <w:rPr/>
      </w:r>
    </w:p>
    <w:p>
      <w:pPr>
        <w:pStyle w:val="TextBody"/>
        <w:bidi w:val="0"/>
        <w:spacing w:lineRule="auto" w:line="240" w:before="0" w:after="0"/>
        <w:ind w:left="0" w:right="0" w:firstLine="719"/>
        <w:jc w:val="left"/>
        <w:rPr/>
      </w:pPr>
      <w:r>
        <w:rPr>
          <w:rFonts w:ascii="Times New Roman;sans-serif" w:hAnsi="Times New Roman;sans-serif"/>
          <w:b w:val="false"/>
          <w:color w:val="000000"/>
          <w:sz w:val="24"/>
        </w:rPr>
        <w:t>This Change in Control and Severance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between Udemy,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__________ (the “</w:t>
      </w:r>
      <w:r>
        <w:rPr>
          <w:rFonts w:ascii="Times New Roman;sans-serif" w:hAnsi="Times New Roman;sans-serif"/>
          <w:b/>
          <w:i/>
          <w:color w:val="000000"/>
          <w:sz w:val="24"/>
        </w:rPr>
        <w:t>Executive</w:t>
      </w:r>
      <w:r>
        <w:rPr>
          <w:color w:val="000000"/>
        </w:rPr>
        <w:t>”</w:t>
      </w:r>
      <w:r>
        <w:rPr>
          <w:rFonts w:ascii="Times New Roman;sans-serif" w:hAnsi="Times New Roman;sans-serif"/>
          <w:b w:val="false"/>
          <w:color w:val="000000"/>
          <w:sz w:val="24"/>
        </w:rPr>
        <w:t>), effective as of ____________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40" w:before="199"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the Executive in connection with a change in control of the Company or in connection with the involuntary termination of the Executive’s employment under the circumstances described in this Agreement.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and the Executive agree as follows:</w:t>
      </w:r>
    </w:p>
    <w:p>
      <w:pPr>
        <w:pStyle w:val="TextBody"/>
        <w:bidi w:val="0"/>
        <w:spacing w:before="11" w:after="283"/>
        <w:jc w:val="left"/>
        <w:rPr/>
      </w:pPr>
      <w:r>
        <w:rPr/>
      </w:r>
    </w:p>
    <w:p>
      <w:pPr>
        <w:pStyle w:val="TextBody"/>
        <w:bidi w:val="0"/>
        <w:spacing w:lineRule="auto" w:line="240" w:before="0" w:after="0"/>
        <w:ind w:left="0" w:right="0" w:firstLine="719"/>
        <w:jc w:val="left"/>
        <w:rPr/>
      </w:pPr>
      <w:r>
        <w:rPr>
          <w:rFonts w:ascii="Times New Roman;sans-serif" w:hAnsi="Times New Roman;sans-serif"/>
          <w:b/>
          <w:color w:val="000000"/>
          <w:sz w:val="24"/>
        </w:rPr>
        <w:t>1.Term of Agreement</w:t>
      </w:r>
      <w:r>
        <w:rPr>
          <w:rFonts w:ascii="Times New Roman;sans-serif" w:hAnsi="Times New Roman;sans-serif"/>
          <w:b w:val="false"/>
          <w:color w:val="000000"/>
          <w:sz w:val="24"/>
        </w:rPr>
        <w:t>. This Agreement will have an initial term commencing on the Effective Date and ending on ___________ (the “</w:t>
      </w:r>
      <w:r>
        <w:rPr>
          <w:rFonts w:ascii="Times New Roman;sans-serif" w:hAnsi="Times New Roman;sans-serif"/>
          <w:b/>
          <w:i/>
          <w:color w:val="000000"/>
          <w:sz w:val="24"/>
        </w:rPr>
        <w:t>Initial Term</w:t>
      </w:r>
      <w:r>
        <w:rPr>
          <w:color w:val="000000"/>
        </w:rPr>
        <w:t>”</w:t>
      </w:r>
      <w:r>
        <w:rPr>
          <w:rFonts w:ascii="Times New Roman;sans-serif" w:hAnsi="Times New Roman;sans-serif"/>
          <w:b w:val="false"/>
          <w:color w:val="000000"/>
          <w:sz w:val="24"/>
        </w:rPr>
        <w:t>). At the end of the Initial Term and each third (3rd) anniversary thereafter, this Agreement will renew automatically for additional, three (3) year terms (each, an “</w:t>
      </w:r>
      <w:r>
        <w:rPr>
          <w:rFonts w:ascii="Times New Roman;sans-serif" w:hAnsi="Times New Roman;sans-serif"/>
          <w:b/>
          <w:i/>
          <w:color w:val="000000"/>
          <w:sz w:val="24"/>
        </w:rPr>
        <w:t>Additional Term</w:t>
      </w:r>
      <w:r>
        <w:rPr>
          <w:color w:val="000000"/>
        </w:rPr>
        <w:t>”</w:t>
      </w:r>
      <w:r>
        <w:rPr>
          <w:rFonts w:ascii="Times New Roman;sans-serif" w:hAnsi="Times New Roman;sans-serif"/>
          <w:b w:val="false"/>
          <w:color w:val="000000"/>
          <w:sz w:val="24"/>
        </w:rPr>
        <w:t>) unless either party provides the other party with written notice of nonrenewal at least sixty (60) days prior to the date of automatic renewal. Notwithstanding the foregoing, if a Change in Control occurs when there are fewer than twelve (12) months remaining during the Initial Term or Additional Term, as applicable, the term of this Agreement will extend automatically through the date that is twelve (12) months following the date of the Change in Control. If the Executive becomes entitled to the benefits under Section 3 of this Agreement, then the Agreement will not terminate until all of the obligations of the parties hereto with respect to this Agreement have been satisfied.</w:t>
      </w:r>
    </w:p>
    <w:p>
      <w:pPr>
        <w:pStyle w:val="TextBody"/>
        <w:bidi w:val="0"/>
        <w:spacing w:before="11" w:after="283"/>
        <w:jc w:val="left"/>
        <w:rPr/>
      </w:pPr>
      <w:r>
        <w:rPr/>
      </w:r>
    </w:p>
    <w:p>
      <w:pPr>
        <w:pStyle w:val="TextBody"/>
        <w:bidi w:val="0"/>
        <w:spacing w:lineRule="auto" w:line="240" w:before="0" w:after="0"/>
        <w:ind w:left="0" w:right="0" w:firstLine="719"/>
        <w:jc w:val="left"/>
        <w:rPr/>
      </w:pPr>
      <w:r>
        <w:rPr>
          <w:rFonts w:ascii="Times New Roman;sans-serif" w:hAnsi="Times New Roman;sans-serif"/>
          <w:b/>
          <w:color w:val="000000"/>
          <w:sz w:val="24"/>
        </w:rPr>
        <w:t>2.At-Will Employment</w:t>
      </w:r>
      <w:r>
        <w:rPr>
          <w:rFonts w:ascii="Times New Roman;sans-serif" w:hAnsi="Times New Roman;sans-serif"/>
          <w:b w:val="false"/>
          <w:color w:val="000000"/>
          <w:sz w:val="24"/>
        </w:rPr>
        <w:t>. The Company and the Executive acknowledge that the Executive’s employment is and will continue to be at-will, as defined under applicable law.</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3.Severance Benefits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Qualifying Non-CIC Termination</w:t>
      </w:r>
      <w:r>
        <w:rPr>
          <w:rFonts w:ascii="Times New Roman;sans-serif" w:hAnsi="Times New Roman;sans-serif"/>
          <w:b w:val="false"/>
          <w:color w:val="000000"/>
          <w:sz w:val="24"/>
        </w:rPr>
        <w:t>. On a Qualifying Non-CIC Termination (as defined below), the Executive will be eligible to receive the following payments and benefits from the Company:</w:t>
      </w:r>
    </w:p>
    <w:p>
      <w:pPr>
        <w:pStyle w:val="TextBody"/>
        <w:bidi w:val="0"/>
        <w:spacing w:before="0" w:after="0"/>
        <w:jc w:val="left"/>
        <w:rPr/>
      </w:pPr>
      <w:r>
        <w:rPr/>
      </w:r>
    </w:p>
    <w:p>
      <w:pPr>
        <w:pStyle w:val="TextBody"/>
        <w:bidi w:val="0"/>
        <w:spacing w:lineRule="auto" w:line="240" w:before="90" w:after="283"/>
        <w:ind w:left="0" w:right="0" w:firstLine="1574"/>
        <w:jc w:val="left"/>
        <w:rPr/>
      </w:pPr>
      <w:r>
        <w:rPr>
          <w:rFonts w:ascii="Times New Roman;sans-serif" w:hAnsi="Times New Roman;sans-serif"/>
          <w:b w:val="false"/>
          <w:color w:val="000000"/>
          <w:sz w:val="24"/>
        </w:rPr>
        <w:t>(i)</w:t>
      </w:r>
      <w:r>
        <w:rPr>
          <w:rFonts w:ascii="Times New Roman;sans-serif" w:hAnsi="Times New Roman;sans-serif"/>
          <w:b w:val="false"/>
          <w:i/>
          <w:color w:val="000000"/>
          <w:sz w:val="24"/>
        </w:rPr>
        <w:t>Severance</w:t>
      </w:r>
      <w:r>
        <w:rPr>
          <w:rFonts w:ascii="Times New Roman;sans-serif" w:hAnsi="Times New Roman;sans-serif"/>
          <w:b w:val="false"/>
          <w:color w:val="000000"/>
          <w:sz w:val="24"/>
        </w:rPr>
        <w:t>. A single, lump sum payment equal to six (6)</w:t>
      </w:r>
      <w:r>
        <w:rPr>
          <w:rFonts w:ascii="Times New Roman;sans-serif" w:hAnsi="Times New Roman;sans-serif"/>
          <w:b w:val="false"/>
          <w:color w:val="000000"/>
          <w:sz w:val="16"/>
        </w:rPr>
        <w:t>1,2,3</w:t>
      </w:r>
      <w:r>
        <w:rPr>
          <w:color w:val="000000"/>
        </w:rPr>
        <w:t xml:space="preserve"> </w:t>
      </w:r>
      <w:r>
        <w:rPr>
          <w:rFonts w:ascii="Times New Roman;sans-serif" w:hAnsi="Times New Roman;sans-serif"/>
          <w:b w:val="false"/>
          <w:color w:val="000000"/>
          <w:sz w:val="24"/>
        </w:rPr>
        <w:t>months of the Executive’s Salary (as defined below), less applicable withholdings.</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12 months for the Chief Executive Officer, Chief Financial Officer and Chief Technology Officer</w:t>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General Counsel’s agreement includes the following: </w:t>
      </w:r>
      <w:r>
        <w:rPr>
          <w:rFonts w:ascii="Times New Roman;sans-serif" w:hAnsi="Times New Roman;sans-serif"/>
          <w:b w:val="false"/>
          <w:i/>
          <w:color w:val="000000"/>
          <w:sz w:val="20"/>
        </w:rPr>
        <w:t>plus</w:t>
      </w:r>
      <w:r>
        <w:rPr>
          <w:color w:val="000000"/>
        </w:rPr>
        <w:t> </w:t>
      </w:r>
      <w:r>
        <w:rPr>
          <w:rFonts w:ascii="Times New Roman;sans-serif" w:hAnsi="Times New Roman;sans-serif"/>
          <w:b w:val="false"/>
          <w:color w:val="000000"/>
          <w:sz w:val="20"/>
        </w:rPr>
        <w:t>(B) an amount equal to the Executive’s prorated Target Bonus (as defined below), with such prorated Target Bonus to be calculated by multiplying the Executive’s Target Bonus by a fraction, (x) the numerator of which is the number of days during which the Executive was employed with the Company in the calendar year in which such termination occurs, and (y) the denominator of which is three hundred sixty-five (365)</w:t>
      </w:r>
    </w:p>
    <w:p>
      <w:pPr>
        <w:pStyle w:val="TextBody"/>
        <w:bidi w:val="0"/>
        <w:spacing w:lineRule="auto" w:line="2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Chief Executive Officer’s agreement includes the following: </w:t>
      </w:r>
      <w:r>
        <w:rPr>
          <w:rFonts w:ascii="Times New Roman;sans-serif" w:hAnsi="Times New Roman;sans-serif"/>
          <w:b w:val="false"/>
          <w:i/>
          <w:color w:val="000000"/>
          <w:sz w:val="20"/>
          <w:shd w:fill="FFFFFF" w:val="clear"/>
        </w:rPr>
        <w:t>plus</w:t>
      </w:r>
      <w:r>
        <w:rPr>
          <w:color w:val="000000"/>
          <w:shd w:fill="FFFFFF" w:val="clear"/>
        </w:rPr>
        <w:t> </w:t>
      </w:r>
      <w:r>
        <w:rPr>
          <w:rFonts w:ascii="Times New Roman;sans-serif" w:hAnsi="Times New Roman;sans-serif"/>
          <w:b w:val="false"/>
          <w:color w:val="000000"/>
          <w:sz w:val="20"/>
          <w:shd w:fill="FFFFFF" w:val="clear"/>
        </w:rPr>
        <w:t>(B) an amount equal to the Executive’s prorated Target Bonus (as defined below), with such prorated Target Bonus to be calculated by multiplying the Executive’s Target Bonus by a fraction, (x) the numerator of which is the number of days during which the Executive was employed with the Company in the calendar year in which such termination occurs, and (y) the denominator of which is three hundred sixty-five (365), not to exceed 50% of the Executive’s Target Bonus</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ind w:left="0" w:right="0" w:firstLine="1507"/>
        <w:jc w:val="left"/>
        <w:rPr/>
      </w:pPr>
      <w:r>
        <w:rPr>
          <w:rFonts w:ascii="Times New Roman;sans-serif" w:hAnsi="Times New Roman;sans-serif"/>
          <w:b w:val="false"/>
          <w:color w:val="000000"/>
          <w:sz w:val="24"/>
        </w:rPr>
        <w:t>(ii)</w:t>
      </w:r>
      <w:r>
        <w:rPr>
          <w:rFonts w:ascii="Times New Roman;sans-serif" w:hAnsi="Times New Roman;sans-serif"/>
          <w:b w:val="false"/>
          <w:i/>
          <w:color w:val="000000"/>
          <w:sz w:val="24"/>
        </w:rPr>
        <w:t>COBRA Coverage</w:t>
      </w:r>
      <w:r>
        <w:rPr>
          <w:rFonts w:ascii="Times New Roman;sans-serif" w:hAnsi="Times New Roman;sans-serif"/>
          <w:b w:val="false"/>
          <w:color w:val="000000"/>
          <w:sz w:val="24"/>
        </w:rPr>
        <w:t>. 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sans-serif" w:hAnsi="Times New Roman;sans-serif"/>
          <w:b/>
          <w:i/>
          <w:color w:val="000000"/>
          <w:sz w:val="24"/>
        </w:rPr>
        <w:t>COBRA Coverage</w:t>
      </w:r>
      <w:r>
        <w:rPr>
          <w:color w:val="000000"/>
        </w:rPr>
        <w:t>”</w:t>
      </w:r>
      <w:r>
        <w:rPr>
          <w:rFonts w:ascii="Times New Roman;sans-serif" w:hAnsi="Times New Roman;sans-serif"/>
          <w:b w:val="false"/>
          <w:color w:val="000000"/>
          <w:sz w:val="24"/>
        </w:rPr>
        <w:t>), until the earliest of (A) a period of six (6)</w:t>
      </w: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24"/>
        </w:rPr>
        <w:t>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0" w:after="0"/>
        <w:jc w:val="left"/>
        <w:rPr/>
      </w:pPr>
      <w:r>
        <w:rPr/>
      </w:r>
    </w:p>
    <w:p>
      <w:pPr>
        <w:pStyle w:val="TextBody"/>
        <w:bidi w:val="0"/>
        <w:spacing w:lineRule="auto" w:line="240" w:before="0" w:after="0"/>
        <w:ind w:left="0" w:right="0" w:firstLine="820"/>
        <w:jc w:val="left"/>
        <w:rPr/>
      </w:pPr>
      <w:r>
        <w:rPr>
          <w:color w:val="000000"/>
        </w:rPr>
        <w:t>    </w:t>
      </w:r>
      <w:r>
        <w:rPr>
          <w:rFonts w:ascii="Times New Roman;sans-serif" w:hAnsi="Times New Roman;sans-serif"/>
          <w:b w:val="false"/>
          <w:color w:val="000000"/>
          <w:sz w:val="22"/>
        </w:rPr>
        <w:t>[FOR CHIEF FINANCIAL OFFICER] (iii)    </w:t>
      </w:r>
      <w:r>
        <w:rPr>
          <w:rFonts w:ascii="Times New Roman;sans-serif" w:hAnsi="Times New Roman;sans-serif"/>
          <w:b w:val="false"/>
          <w:i/>
          <w:color w:val="000000"/>
          <w:sz w:val="22"/>
        </w:rPr>
        <w:t>Extension of Post-Termination Exercise Period</w:t>
      </w:r>
      <w:r>
        <w:rPr>
          <w:rFonts w:ascii="Times New Roman;sans-serif" w:hAnsi="Times New Roman;sans-serif"/>
          <w:b w:val="false"/>
          <w:color w:val="000000"/>
          <w:sz w:val="22"/>
        </w:rPr>
        <w:t>. The post-termination exercise period for the Executive’s vested and outstanding options to purchase shares of common stock of the Company will extend to one (1) year from the date of the Executive’s termination of employment, not to exceed the expiration date of any such option.</w:t>
      </w:r>
    </w:p>
    <w:p>
      <w:pPr>
        <w:pStyle w:val="TextBody"/>
        <w:bidi w:val="0"/>
        <w:spacing w:before="0" w:after="0"/>
        <w:ind w:left="0" w:right="0" w:firstLine="820"/>
        <w:jc w:val="left"/>
        <w:rPr/>
      </w:pPr>
      <w:r>
        <w:rPr/>
      </w:r>
    </w:p>
    <w:p>
      <w:pPr>
        <w:pStyle w:val="TextBody"/>
        <w:bidi w:val="0"/>
        <w:spacing w:lineRule="auto" w:line="240" w:before="0" w:after="0"/>
        <w:ind w:left="0" w:right="0" w:firstLine="820"/>
        <w:jc w:val="left"/>
        <w:rPr/>
      </w:pPr>
      <w:r>
        <w:rPr>
          <w:rFonts w:ascii="Times New Roman;sans-serif" w:hAnsi="Times New Roman;sans-serif"/>
          <w:b w:val="false"/>
          <w:color w:val="000000"/>
          <w:sz w:val="24"/>
          <w:shd w:fill="FFFFFF" w:val="clear"/>
        </w:rPr>
        <w:t>[FOR CHIEF TECHNOLOGY OFFICER] (iii)    </w:t>
      </w:r>
      <w:r>
        <w:rPr>
          <w:rFonts w:ascii="Times New Roman;sans-serif" w:hAnsi="Times New Roman;sans-serif"/>
          <w:b w:val="false"/>
          <w:i/>
          <w:color w:val="000000"/>
          <w:sz w:val="24"/>
          <w:shd w:fill="FFFFFF" w:val="clear"/>
        </w:rPr>
        <w:t>Special Protection</w:t>
      </w:r>
      <w:r>
        <w:rPr>
          <w:rFonts w:ascii="Times New Roman;sans-serif" w:hAnsi="Times New Roman;sans-serif"/>
          <w:b w:val="false"/>
          <w:color w:val="000000"/>
          <w:sz w:val="24"/>
          <w:shd w:fill="FFFFFF" w:val="clear"/>
        </w:rPr>
        <w:t>. If such Qualifying Non-CIC Termination occurs prior to the first anniversary of the commencement of the Executive’s employment with the Company, then a number of then unvested and outstanding shares subject to the Executive’s original option to purchase shares of common stock of the Company that is subject to time-based vesting will accelerate and fully vest, with such number equal to the product of (A) 25% of the shares originally subject to such option and (B) the quotient of the number of days between the date of the commencement of the Executive’s employment with the Company and the date of the Executive’s termination of employment </w:t>
      </w:r>
      <w:r>
        <w:rPr>
          <w:rFonts w:ascii="Times New Roman;sans-serif" w:hAnsi="Times New Roman;sans-serif"/>
          <w:b w:val="false"/>
          <w:i/>
          <w:color w:val="000000"/>
          <w:sz w:val="24"/>
          <w:shd w:fill="FFFFFF" w:val="clear"/>
        </w:rPr>
        <w:t>divided by</w:t>
      </w:r>
      <w:r>
        <w:rPr>
          <w:color w:val="000000"/>
          <w:shd w:fill="FFFFFF" w:val="clear"/>
        </w:rPr>
        <w:t> </w:t>
      </w:r>
      <w:r>
        <w:rPr>
          <w:rFonts w:ascii="Times New Roman;sans-serif" w:hAnsi="Times New Roman;sans-serif"/>
          <w:b w:val="false"/>
          <w:color w:val="000000"/>
          <w:sz w:val="24"/>
          <w:shd w:fill="FFFFFF" w:val="clear"/>
        </w:rPr>
        <w:t>three hundred sixty-five (365), rounded up to the nearest whole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820"/>
        <w:jc w:val="left"/>
        <w:rPr/>
      </w:pPr>
      <w:r>
        <w:rPr/>
      </w:r>
    </w:p>
    <w:p>
      <w:pPr>
        <w:pStyle w:val="TextBody"/>
        <w:bidi w:val="0"/>
        <w:spacing w:lineRule="auto" w:line="240" w:before="0" w:after="0"/>
        <w:ind w:left="0" w:right="0" w:firstLine="820"/>
        <w:jc w:val="left"/>
        <w:rPr/>
      </w:pPr>
      <w:r>
        <w:rPr>
          <w:rFonts w:ascii="Times New Roman;sans-serif" w:hAnsi="Times New Roman;sans-serif"/>
          <w:b w:val="false"/>
          <w:color w:val="000000"/>
          <w:sz w:val="22"/>
        </w:rPr>
        <w:t>[FOR CHIEF EXECUTIVE OFFICER] (iv)</w:t>
      </w:r>
      <w:r>
        <w:rPr>
          <w:color w:val="000000"/>
        </w:rPr>
        <w:t xml:space="preserve"> </w:t>
      </w:r>
      <w:r>
        <w:rPr>
          <w:rFonts w:ascii="Times New Roman;sans-serif" w:hAnsi="Times New Roman;sans-serif"/>
          <w:b w:val="false"/>
          <w:i/>
          <w:color w:val="000000"/>
          <w:sz w:val="24"/>
          <w:shd w:fill="FFFFFF" w:val="clear"/>
        </w:rPr>
        <w:t>Special Protection</w:t>
      </w:r>
      <w:r>
        <w:rPr>
          <w:rFonts w:ascii="Times New Roman;sans-serif" w:hAnsi="Times New Roman;sans-serif"/>
          <w:b w:val="false"/>
          <w:color w:val="000000"/>
          <w:sz w:val="24"/>
          <w:shd w:fill="FFFFFF" w:val="clear"/>
        </w:rPr>
        <w:t>. If such Qualifying Non-CIC Termination occurs prior to the first anniversary of the commencement of the Executive’s employment with the Company, then a number of then unvested and outstanding shares subject to the Executive’s original option to purchase shares of common stock of the Company that is subject to time-based vesting will accelerate and fully vest, with such number equal to the product of (A) 25% of the shares originally subject to such option and (B) the quotient of the number of days between the date of the commencement of the Executive’s employment with the Company and the date of the Executive’s termination of employment </w:t>
      </w:r>
      <w:r>
        <w:rPr>
          <w:rFonts w:ascii="Times New Roman;sans-serif" w:hAnsi="Times New Roman;sans-serif"/>
          <w:b w:val="false"/>
          <w:i/>
          <w:color w:val="000000"/>
          <w:sz w:val="24"/>
          <w:shd w:fill="FFFFFF" w:val="clear"/>
        </w:rPr>
        <w:t>divided by</w:t>
      </w:r>
      <w:r>
        <w:rPr>
          <w:color w:val="000000"/>
          <w:shd w:fill="FFFFFF" w:val="clear"/>
        </w:rPr>
        <w:t> </w:t>
      </w:r>
      <w:r>
        <w:rPr>
          <w:rFonts w:ascii="Times New Roman;sans-serif" w:hAnsi="Times New Roman;sans-serif"/>
          <w:b w:val="false"/>
          <w:color w:val="000000"/>
          <w:sz w:val="24"/>
          <w:shd w:fill="FFFFFF" w:val="clear"/>
        </w:rPr>
        <w:t>three hundred sixty-five (365), rounded up to the nearest whole share.</w:t>
      </w:r>
    </w:p>
    <w:p>
      <w:pPr>
        <w:pStyle w:val="TextBody"/>
        <w:bidi w:val="0"/>
        <w:spacing w:before="0" w:after="0"/>
        <w:ind w:left="0" w:right="0" w:firstLine="820"/>
        <w:jc w:val="left"/>
        <w:rPr/>
      </w:pPr>
      <w:r>
        <w:rPr/>
      </w:r>
    </w:p>
    <w:p>
      <w:pPr>
        <w:pStyle w:val="TextBody"/>
        <w:bidi w:val="0"/>
        <w:spacing w:lineRule="auto" w:line="240" w:before="80" w:after="283"/>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Qualifying CIC Termination</w:t>
      </w:r>
      <w:r>
        <w:rPr>
          <w:rFonts w:ascii="Times New Roman;sans-serif" w:hAnsi="Times New Roman;sans-serif"/>
          <w:b w:val="false"/>
          <w:color w:val="000000"/>
          <w:sz w:val="24"/>
        </w:rPr>
        <w:t>. On a Qualifying CIC Termination, the Executive will be eligible to receive the following payments and benefits from the Company:</w:t>
      </w:r>
    </w:p>
    <w:p>
      <w:pPr>
        <w:pStyle w:val="TextBody"/>
        <w:bidi w:val="0"/>
        <w:spacing w:before="10" w:after="283"/>
        <w:jc w:val="left"/>
        <w:rPr/>
      </w:pPr>
      <w:r>
        <w:rPr/>
      </w:r>
    </w:p>
    <w:p>
      <w:pPr>
        <w:pStyle w:val="TextBody"/>
        <w:bidi w:val="0"/>
        <w:spacing w:lineRule="auto" w:line="240" w:before="0" w:after="0"/>
        <w:ind w:left="0" w:right="0" w:firstLine="1394"/>
        <w:jc w:val="left"/>
        <w:rPr/>
      </w:pPr>
      <w:r>
        <w:rPr>
          <w:rFonts w:ascii="Times New Roman;sans-serif" w:hAnsi="Times New Roman;sans-serif"/>
          <w:b w:val="false"/>
          <w:color w:val="000000"/>
          <w:sz w:val="24"/>
        </w:rPr>
        <w:t>(i)</w:t>
      </w:r>
      <w:r>
        <w:rPr>
          <w:rFonts w:ascii="Times New Roman;sans-serif" w:hAnsi="Times New Roman;sans-serif"/>
          <w:b w:val="false"/>
          <w:i/>
          <w:color w:val="000000"/>
          <w:sz w:val="24"/>
        </w:rPr>
        <w:t>Severance</w:t>
      </w:r>
      <w:r>
        <w:rPr>
          <w:rFonts w:ascii="Times New Roman;sans-serif" w:hAnsi="Times New Roman;sans-serif"/>
          <w:b w:val="false"/>
          <w:color w:val="000000"/>
          <w:sz w:val="24"/>
        </w:rPr>
        <w:t xml:space="preserve">. A single, lump sum payment equal to twelve (12) months of the Executive’s Salary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100% of the Executive’s Target Bonus, less applicable withholdings.</w:t>
      </w:r>
    </w:p>
    <w:p>
      <w:pPr>
        <w:pStyle w:val="TextBody"/>
        <w:bidi w:val="0"/>
        <w:spacing w:before="10" w:after="283"/>
        <w:jc w:val="left"/>
        <w:rPr/>
      </w:pPr>
      <w:r>
        <w:rPr/>
      </w:r>
    </w:p>
    <w:p>
      <w:pPr>
        <w:pStyle w:val="TextBody"/>
        <w:bidi w:val="0"/>
        <w:spacing w:lineRule="auto" w:line="240" w:before="0" w:after="0"/>
        <w:ind w:left="0" w:right="0" w:firstLine="1327"/>
        <w:jc w:val="left"/>
        <w:rPr/>
      </w:pPr>
      <w:r>
        <w:rPr>
          <w:rFonts w:ascii="Times New Roman;sans-serif" w:hAnsi="Times New Roman;sans-serif"/>
          <w:b w:val="false"/>
          <w:color w:val="000000"/>
          <w:sz w:val="24"/>
        </w:rPr>
        <w:t>(ii)</w:t>
      </w:r>
      <w:r>
        <w:rPr>
          <w:rFonts w:ascii="Times New Roman;sans-serif" w:hAnsi="Times New Roman;sans-serif"/>
          <w:b w:val="false"/>
          <w:i/>
          <w:color w:val="000000"/>
          <w:sz w:val="24"/>
        </w:rPr>
        <w:t>COBRA Coverage</w:t>
      </w:r>
      <w:r>
        <w:rPr>
          <w:rFonts w:ascii="Times New Roman;sans-serif" w:hAnsi="Times New Roman;sans-serif"/>
          <w:b w:val="false"/>
          <w:color w:val="000000"/>
          <w:sz w:val="24"/>
        </w:rPr>
        <w:t>. Subject to Section 3(d), the Company will provide COBRA Coverage until the earliest of (A) a period of twelve (12)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11" w:after="283"/>
        <w:jc w:val="left"/>
        <w:rPr/>
      </w:pPr>
      <w:r>
        <w:rPr/>
      </w:r>
    </w:p>
    <w:p>
      <w:pPr>
        <w:pStyle w:val="TextBody"/>
        <w:bidi w:val="0"/>
        <w:spacing w:lineRule="auto" w:line="24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12 months for the Chief Executive Officer, Chief Financial Officer and Chief Technology Officer</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0"/>
        <w:ind w:left="0" w:right="0" w:firstLine="1260"/>
        <w:jc w:val="left"/>
        <w:rPr/>
      </w:pPr>
      <w:r>
        <w:rPr>
          <w:rFonts w:ascii="Times New Roman;sans-serif" w:hAnsi="Times New Roman;sans-serif"/>
          <w:b w:val="false"/>
          <w:color w:val="000000"/>
          <w:sz w:val="24"/>
        </w:rPr>
        <w:t>(iii)</w:t>
      </w:r>
      <w:r>
        <w:rPr>
          <w:rFonts w:ascii="Times New Roman;sans-serif" w:hAnsi="Times New Roman;sans-serif"/>
          <w:b w:val="false"/>
          <w:i/>
          <w:color w:val="000000"/>
          <w:sz w:val="24"/>
        </w:rPr>
        <w:t>Equity Vesting Acceleration</w:t>
      </w:r>
      <w:r>
        <w:rPr>
          <w:rFonts w:ascii="Times New Roman;sans-serif" w:hAnsi="Times New Roman;sans-serif"/>
          <w:b w:val="false"/>
          <w:color w:val="000000"/>
          <w:sz w:val="24"/>
        </w:rPr>
        <w:t>. Vesting acceleration (and exercisability, as applicable) as to 100% of the then-unvested shares subject to each of</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Executive’s then-outstanding compensatory equity awards issued by the Company. In the case of an equity award with performance-based vesting, unless otherwise specified in the applicable equity award agreement governing such award, all performance goals and other vesting criteria will be deemed achieved at target.</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[FOR CHIEF FINANCIAL OFFICER ONLY] (iv)</w:t>
      </w:r>
      <w:r>
        <w:rPr>
          <w:color w:val="000000"/>
          <w:shd w:fill="FFFFFF" w:val="clear"/>
        </w:rPr>
        <w:t> </w:t>
      </w:r>
      <w:r>
        <w:rPr>
          <w:rFonts w:ascii="Times New Roman;sans-serif" w:hAnsi="Times New Roman;sans-serif"/>
          <w:b w:val="false"/>
          <w:i/>
          <w:color w:val="000000"/>
          <w:sz w:val="24"/>
          <w:shd w:fill="FFFFFF" w:val="clear"/>
        </w:rPr>
        <w:t>Extension of Post-Termination Exercise Period</w:t>
      </w:r>
      <w:r>
        <w:rPr>
          <w:rFonts w:ascii="Times New Roman;sans-serif" w:hAnsi="Times New Roman;sans-serif"/>
          <w:b w:val="false"/>
          <w:color w:val="000000"/>
          <w:sz w:val="24"/>
          <w:shd w:fill="FFFFFF" w:val="clear"/>
        </w:rPr>
        <w:t>. The post-termination exercise period for the Executive’s vested and outstanding options to purchase shares of common stock of the Company will extend to one (1) year from the date of the Executive’s termination of employment, not to exceed the expiration date of any such option.</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Other Than a Qualifying Termination</w:t>
      </w:r>
      <w:r>
        <w:rPr>
          <w:rFonts w:ascii="Times New Roman;sans-serif" w:hAnsi="Times New Roman;sans-serif"/>
          <w:b w:val="false"/>
          <w:color w:val="000000"/>
          <w:sz w:val="24"/>
        </w:rPr>
        <w:t>. If the termination of the Executive’s employment with the Company Group is not a Qualifying Termination, then the Executive will not be entitled to receive severance or other benefits.</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Conditions to Receipt of COBRA Coverage</w:t>
      </w:r>
      <w:r>
        <w:rPr>
          <w:rFonts w:ascii="Times New Roman;sans-serif" w:hAnsi="Times New Roman;sans-serif"/>
          <w:b w:val="false"/>
          <w:color w:val="000000"/>
          <w:sz w:val="24"/>
        </w:rPr>
        <w:t>.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(except as provided by the immediately following sentence),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w:t>
      </w:r>
    </w:p>
    <w:p>
      <w:pPr>
        <w:pStyle w:val="TextBody"/>
        <w:bidi w:val="0"/>
        <w:spacing w:lineRule="auto" w:line="240" w:before="1" w:after="283"/>
        <w:jc w:val="left"/>
        <w:rPr/>
      </w:pPr>
      <w:r>
        <w:rPr>
          <w:rFonts w:ascii="Times New Roman;sans-serif" w:hAnsi="Times New Roman;sans-serif"/>
          <w:b w:val="false"/>
          <w:color w:val="000000"/>
          <w:sz w:val="24"/>
        </w:rPr>
        <w:t>dependents of the Executive) (each, a “</w:t>
      </w:r>
      <w:r>
        <w:rPr>
          <w:rFonts w:ascii="Times New Roman;sans-serif" w:hAnsi="Times New Roman;sans-serif"/>
          <w:b/>
          <w:i/>
          <w:color w:val="000000"/>
          <w:sz w:val="24"/>
        </w:rPr>
        <w:t>COBRA Replacement Payment</w:t>
      </w:r>
      <w:r>
        <w:rPr>
          <w:color w:val="000000"/>
        </w:rPr>
        <w:t>”</w:t>
      </w:r>
      <w:r>
        <w:rPr>
          <w:rFonts w:ascii="Times New Roman;sans-serif" w:hAnsi="Times New Roman;sans-serif"/>
          <w:b w:val="false"/>
          <w:color w:val="000000"/>
          <w:sz w:val="24"/>
        </w:rPr>
        <w:t>), which COBRA Replacement Payments will be made regardless of whether the Executive elects COBRA continuation coverage and will end on the earlier of (x) the date upon which the Executive obtains other employment or (y)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Non-Duplication of Payment or Benefits</w:t>
      </w:r>
      <w:r>
        <w:rPr>
          <w:rFonts w:ascii="Times New Roman;sans-serif" w:hAnsi="Times New Roman;sans-serif"/>
          <w:b w:val="false"/>
          <w:color w:val="000000"/>
          <w:sz w:val="24"/>
        </w:rPr>
        <w:t>. For purposes of clarity, in the event of a Qualifying Pre-CIC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w:t>
      </w:r>
      <w:r>
        <w:rPr>
          <w:rFonts w:ascii="Times New Roman;sans-serif" w:hAnsi="Times New Roman;sans-serif"/>
          <w:b/>
          <w:i/>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the Executive.</w:t>
      </w:r>
    </w:p>
    <w:p>
      <w:pPr>
        <w:pStyle w:val="TextBody"/>
        <w:bidi w:val="0"/>
        <w:spacing w:before="11" w:after="283"/>
        <w:jc w:val="left"/>
        <w:rPr/>
      </w:pPr>
      <w:r>
        <w:rPr/>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28650"/>
                <wp:effectExtent l="0" t="0" r="0" b="0"/>
                <wp:wrapNone/>
                <wp:docPr id="132" name="Frame1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Death of the Executive</w:t>
      </w:r>
      <w:r>
        <w:rPr>
          <w:rFonts w:ascii="Times New Roman;sans-serif" w:hAnsi="Times New Roman;sans-serif"/>
          <w:b w:val="false"/>
          <w:color w:val="000000"/>
          <w:sz w:val="24"/>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Transfer Between Members of the Company Group</w:t>
      </w:r>
      <w:r>
        <w:rPr>
          <w:rFonts w:ascii="Times New Roman;sans-serif" w:hAnsi="Times New Roman;sans-serif"/>
          <w:b w:val="false"/>
          <w:color w:val="000000"/>
          <w:sz w:val="24"/>
        </w:rPr>
        <w:t>. 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w:t>
      </w:r>
    </w:p>
    <w:p>
      <w:pPr>
        <w:pStyle w:val="TextBody"/>
        <w:bidi w:val="0"/>
        <w:spacing w:before="10" w:after="283"/>
        <w:jc w:val="left"/>
        <w:rPr/>
      </w:pPr>
      <w:r>
        <w:rPr/>
      </w:r>
    </w:p>
    <w:p>
      <w:pPr>
        <w:pStyle w:val="TextBody"/>
        <w:bidi w:val="0"/>
        <w:spacing w:lineRule="auto" w:line="240" w:before="1" w:after="283"/>
        <w:ind w:left="0" w:right="0" w:firstLine="719"/>
        <w:jc w:val="left"/>
        <w:rPr/>
      </w:pPr>
      <w:r>
        <w:rPr>
          <w:rFonts w:ascii="Times New Roman;sans-serif" w:hAnsi="Times New Roman;sans-serif"/>
          <w:b/>
          <w:color w:val="000000"/>
          <w:sz w:val="24"/>
        </w:rPr>
        <w:t>4.Accrued Compensation</w:t>
      </w:r>
      <w:r>
        <w:rPr>
          <w:rFonts w:ascii="Times New Roman;sans-serif" w:hAnsi="Times New Roman;sans-serif"/>
          <w:b w:val="false"/>
          <w:color w:val="000000"/>
          <w:sz w:val="24"/>
        </w:rPr>
        <w:t>. On any termination of the Executive’s employment with the Company Group, the Executive will be entitled to receive all accrued but unpaid vacation, expense reimbursements, wages, and other benefits due to the Executive under any Company-provided plans, policies, and arrangements.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5.Conditions to Receipt of Severance</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Separation Agreement and Release of Claims</w:t>
      </w:r>
      <w:r>
        <w:rPr>
          <w:rFonts w:ascii="Times New Roman;sans-serif" w:hAnsi="Times New Roman;sans-serif"/>
          <w:b w:val="false"/>
          <w:color w:val="000000"/>
          <w:sz w:val="24"/>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sans-serif" w:hAnsi="Times New Roman;sans-serif"/>
          <w:b/>
          <w:i/>
          <w:color w:val="000000"/>
          <w:sz w:val="24"/>
        </w:rPr>
        <w:t>Release</w:t>
      </w:r>
      <w:r>
        <w:rPr>
          <w:color w:val="000000"/>
        </w:rPr>
        <w:t xml:space="preserve">” </w:t>
      </w:r>
      <w:r>
        <w:rPr>
          <w:rFonts w:ascii="Times New Roman;sans-serif" w:hAnsi="Times New Roman;sans-serif"/>
          <w:b w:val="false"/>
          <w:color w:val="000000"/>
          <w:sz w:val="24"/>
        </w:rPr>
        <w:t>and that requirement, the “</w:t>
      </w:r>
      <w:r>
        <w:rPr>
          <w:rFonts w:ascii="Times New Roman;sans-serif" w:hAnsi="Times New Roman;sans-serif"/>
          <w:b/>
          <w:i/>
          <w:color w:val="000000"/>
          <w:sz w:val="24"/>
        </w:rPr>
        <w:t>Release Requirement</w:t>
      </w:r>
      <w:r>
        <w:rPr>
          <w:color w:val="000000"/>
        </w:rPr>
        <w:t>”</w:t>
      </w:r>
      <w:r>
        <w:rPr>
          <w:rFonts w:ascii="Times New Roman;sans-serif" w:hAnsi="Times New Roman;sans-serif"/>
          <w:b w:val="false"/>
          <w:color w:val="000000"/>
          <w:sz w:val="24"/>
        </w:rPr>
        <w:t>), which must become effective and irrevocable no later than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Executive’s Qualifying Termination (the “</w:t>
      </w:r>
      <w:r>
        <w:rPr>
          <w:rFonts w:ascii="Times New Roman;sans-serif" w:hAnsi="Times New Roman;sans-serif"/>
          <w:b/>
          <w:i/>
          <w:color w:val="000000"/>
          <w:sz w:val="24"/>
        </w:rPr>
        <w:t>Release Deadline</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the Release does not become effective and irrevocable by the Release Deadline, the Executive will forfeit any right to severance payments or benefits under Section 3.</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Payment Timing</w:t>
      </w:r>
      <w:r>
        <w:rPr>
          <w:rFonts w:ascii="Times New Roman;sans-serif" w:hAnsi="Times New Roman;sans-serif"/>
          <w:b w:val="false"/>
          <w:color w:val="000000"/>
          <w:sz w:val="24"/>
        </w:rPr>
        <w:t>. Any lump sum severance payment under Section 3(a)(i) or 3(b)(i) will be provided on the first regularly scheduled payroll date of the Company following the date the Release becomes effective and irrevocable (the “</w:t>
      </w:r>
      <w:r>
        <w:rPr>
          <w:rFonts w:ascii="Times New Roman;sans-serif" w:hAnsi="Times New Roman;sans-serif"/>
          <w:b/>
          <w:i/>
          <w:color w:val="000000"/>
          <w:sz w:val="24"/>
        </w:rPr>
        <w:t>Severance Start Date</w:t>
      </w:r>
      <w:r>
        <w:rPr>
          <w:color w:val="000000"/>
        </w:rPr>
        <w:t>”</w:t>
      </w:r>
      <w:r>
        <w:rPr>
          <w:rFonts w:ascii="Times New Roman;sans-serif" w:hAnsi="Times New Roman;sans-serif"/>
          <w:b w:val="false"/>
          <w:color w:val="000000"/>
          <w:sz w:val="24"/>
        </w:rPr>
        <w:t>), subject to any delay required by Section 5(d) below. Any taxable installments of any COBRA- related severance benefits that otherwise would have been made to the Executive on or before the Severance Start Date will be paid on the Severance Start Date, and any remaining installments thereafter will be provided as specified in the Agreement. Any restricted stock units, performance shares, performance units, and/or similar full value awards that accelerate vesting under Section 3 will be settled (x) on a date no later than ten (10) days following the date the Release becomes effective and irrevocable, or (y) if later, in the event of a Qualifying Pre-CIC Termination, on a date no later than the Change in Control.</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The Executive’s receipt of any severance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payments or benefits upon the Executive’s Qualifying Termination under Section 3 is subject to the Executive returning all documents and other property provided to the Executive by any member of the Company Group (with the exception of a copy of the Company employee </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28650"/>
                <wp:effectExtent l="0" t="0" r="0" b="0"/>
                <wp:wrapNone/>
                <wp:docPr id="133" name="Frame1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handbook and personnel documents specifically relating to the Executive), developed or obtained by the Executive in connection with his or her employment with the Company Group, or otherwise belonging to the Company Group.</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i/>
          <w:color w:val="000000"/>
          <w:sz w:val="24"/>
        </w:rPr>
        <w:t>Deferred Payments</w:t>
      </w:r>
      <w:r>
        <w:rPr>
          <w:color w:val="000000"/>
        </w:rPr>
        <w:t>”</w:t>
      </w:r>
      <w:r>
        <w:rPr>
          <w:rFonts w:ascii="Times New Roman;sans-serif" w:hAnsi="Times New Roman;sans-serif"/>
          <w:b w:val="false"/>
          <w:color w:val="000000"/>
          <w:sz w:val="24"/>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six (6) months and one (1) day following the Executive’s termination of employment.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Resignation of Officer and Director Positions</w:t>
      </w:r>
      <w:r>
        <w:rPr>
          <w:rFonts w:ascii="Times New Roman;sans-serif" w:hAnsi="Times New Roman;sans-serif"/>
          <w:b w:val="false"/>
          <w:color w:val="000000"/>
          <w:sz w:val="24"/>
        </w:rPr>
        <w:t>. The Executive’s receipt of any severance payments or benefits upon the Executive’s Qualifying Termination under Section 3 is subject to the Executive resigning from all officer and director positions with all</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members of the Company Group and the Executive executing any documents the Company may require in connection with the same.</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6.Limitation on Payments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Reduction of Severance Benefits</w:t>
      </w:r>
      <w:r>
        <w:rPr>
          <w:rFonts w:ascii="Times New Roman;sans-serif" w:hAnsi="Times New Roman;sans-serif"/>
          <w:b w:val="false"/>
          <w:color w:val="000000"/>
          <w:sz w:val="24"/>
        </w:rPr>
        <w:t>. If any payment or benefit that the Executive would receive from any Company Group member or any other party whether in connection with the provisions in this Agreement or otherwise (the “</w:t>
      </w:r>
      <w:r>
        <w:rPr>
          <w:rFonts w:ascii="Times New Roman;sans-serif" w:hAnsi="Times New Roman;sans-serif"/>
          <w:b/>
          <w:i/>
          <w:color w:val="000000"/>
          <w:sz w:val="24"/>
        </w:rPr>
        <w:t>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i/>
          <w:color w:val="000000"/>
          <w:sz w:val="24"/>
        </w:rPr>
        <w:t>Excise Tax</w:t>
      </w:r>
      <w:r>
        <w:rPr>
          <w:color w:val="000000"/>
        </w:rPr>
        <w:t>”</w:t>
      </w:r>
      <w:r>
        <w:rPr>
          <w:rFonts w:ascii="Times New Roman;sans-serif" w:hAnsi="Times New Roman;sans-serif"/>
          <w:b w:val="false"/>
          <w:color w:val="000000"/>
          <w:sz w:val="24"/>
        </w:rPr>
        <w:t>), then the Payment will be equal to the Best Results Amount. The “</w:t>
      </w:r>
      <w:r>
        <w:rPr>
          <w:rFonts w:ascii="Times New Roman;sans-serif" w:hAnsi="Times New Roman;sans-serif"/>
          <w:b/>
          <w:i/>
          <w:color w:val="000000"/>
          <w:sz w:val="24"/>
        </w:rPr>
        <w:t>Best Results Amount</w:t>
      </w:r>
      <w:r>
        <w:rPr>
          <w:color w:val="000000"/>
        </w:rPr>
        <w:t xml:space="preserve">” </w:t>
      </w:r>
      <w:r>
        <w:rPr>
          <w:rFonts w:ascii="Times New Roman;sans-serif" w:hAnsi="Times New Roman;sans-serif"/>
          <w:b w:val="false"/>
          <w:color w:val="000000"/>
          <w:sz w:val="24"/>
        </w:rPr>
        <w:t xml:space="preserve">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28650"/>
                <wp:effectExtent l="0" t="0" r="0" b="0"/>
                <wp:wrapNone/>
                <wp:docPr id="134" name="Frame1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1" w:after="283"/>
        <w:jc w:val="left"/>
        <w:rPr/>
      </w:pPr>
      <w:r>
        <w:rPr/>
      </w:r>
    </w:p>
    <w:p>
      <w:pPr>
        <w:pStyle w:val="TextBody"/>
        <w:bidi w:val="0"/>
        <w:spacing w:lineRule="auto" w:line="240" w:before="90" w:after="283"/>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Determination of Excise Tax Liability</w:t>
      </w:r>
      <w:r>
        <w:rPr>
          <w:rFonts w:ascii="Times New Roman;sans-serif" w:hAnsi="Times New Roman;sans-serif"/>
          <w:b w:val="false"/>
          <w:color w:val="000000"/>
          <w:sz w:val="24"/>
        </w:rPr>
        <w:t>. Unless the Company and the Executive otherwise agree in writing, the Company will select a professional services firm (the “</w:t>
      </w:r>
      <w:r>
        <w:rPr>
          <w:rFonts w:ascii="Times New Roman;sans-serif" w:hAnsi="Times New Roman;sans-serif"/>
          <w:b/>
          <w:i/>
          <w:color w:val="000000"/>
          <w:sz w:val="24"/>
        </w:rPr>
        <w:t>Firm</w:t>
      </w:r>
      <w:r>
        <w:rPr>
          <w:color w:val="000000"/>
        </w:rPr>
        <w:t>”</w:t>
      </w:r>
      <w:r>
        <w:rPr>
          <w:rFonts w:ascii="Times New Roman;sans-serif" w:hAnsi="Times New Roman;sans-serif"/>
          <w:b w:val="false"/>
          <w:color w:val="000000"/>
          <w:sz w:val="24"/>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 The Company will have no liability to the Executive for the determinations of the Firm.</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7.     Definitions.</w:t>
      </w:r>
      <w:r>
        <w:rPr>
          <w:color w:val="000000"/>
        </w:rPr>
        <w:t xml:space="preserve"> </w:t>
      </w:r>
      <w:r>
        <w:rPr>
          <w:rFonts w:ascii="Times New Roman;sans-serif" w:hAnsi="Times New Roman;sans-serif"/>
          <w:b w:val="false"/>
          <w:color w:val="000000"/>
          <w:sz w:val="24"/>
        </w:rPr>
        <w:t>The following terms referred to in this Agreement will have the following meanings:</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means the Company’s Board of Directors.</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means the occurrence of any of the following: (i) the Executive’s willful and continued failure to perform the Executive’s assigned duties or responsibilities as an employee of the Company (other than a failure resulting from the Executive’s disability) after written notice from the Company describing the basis for the Company’s belief that the Executive has failed to perform such duties or responsibilities, and not remedying such failure within thirty (30) days of the Executive’s receipt of such notice; (ii) the Executive engaging in any act of dishonesty, fraud, or misrepresentation in connection with the Executive’s responsibilities as a Company employee that results in substantial harm to the Company’s reputation or business; (iii) the Executive’s violation of any federal or state law or regulation applicable to the business of the Company or its affiliates that results in substantial harm to the Company’s reputation or business; (iv) the Executive’s unauthorized use or disclosure of any proprietary information or trade secrets of the Company; or (v) the Executive being convicted of, or entering a plea of nolo contendere to, a felony.</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means the occurrence of any of the following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28650"/>
                <wp:effectExtent l="0" t="0" r="0" b="0"/>
                <wp:wrapNone/>
                <wp:docPr id="135" name="Frame1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0" w:after="283"/>
        <w:ind w:left="0" w:right="0" w:firstLine="1327"/>
        <w:jc w:val="left"/>
        <w:rPr/>
      </w:pPr>
      <w:r>
        <w:rPr>
          <w:rFonts w:ascii="Times New Roman;sans-serif" w:hAnsi="Times New Roman;sans-serif"/>
          <w:b w:val="false"/>
          <w:color w:val="000000"/>
          <w:sz w:val="24"/>
        </w:rPr>
        <w:t>(i)A change in the ownership of the Company which occurs on the date that any one person, or more than one person acting as a group (“</w:t>
      </w:r>
      <w:r>
        <w:rPr>
          <w:rFonts w:ascii="Times New Roman;sans-serif" w:hAnsi="Times New Roman;sans-serif"/>
          <w:b/>
          <w:i/>
          <w:color w:val="000000"/>
          <w:sz w:val="24"/>
        </w:rPr>
        <w:t>Person</w:t>
      </w:r>
      <w:r>
        <w:rPr>
          <w:color w:val="000000"/>
        </w:rPr>
        <w:t>”</w:t>
      </w:r>
      <w:r>
        <w:rPr>
          <w:rFonts w:ascii="Times New Roman;sans-serif" w:hAnsi="Times New Roman;sans-serif"/>
          <w:b w:val="false"/>
          <w:color w:val="000000"/>
          <w:sz w:val="24"/>
        </w:rPr>
        <w:t xml:space="preserve">), acquires ownership of the stock of the Company that, together with the stock held by such Person, constitutes more than fifty (50%) of the total voting power of the stock of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for 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pStyle w:val="TextBody"/>
        <w:bidi w:val="0"/>
        <w:spacing w:before="0" w:after="0"/>
        <w:ind w:left="0" w:right="0" w:firstLine="1687"/>
        <w:jc w:val="left"/>
        <w:rPr/>
      </w:pPr>
      <w:r>
        <w:rPr/>
      </w:r>
    </w:p>
    <w:p>
      <w:pPr>
        <w:pStyle w:val="TextBody"/>
        <w:bidi w:val="0"/>
        <w:spacing w:lineRule="auto" w:line="240" w:before="0" w:after="0"/>
        <w:ind w:left="0" w:right="0" w:firstLine="1327"/>
        <w:jc w:val="left"/>
        <w:rPr/>
      </w:pPr>
      <w:r>
        <w:rPr>
          <w:rFonts w:ascii="Times New Roman;sans-serif" w:hAnsi="Times New Roman;sans-serif"/>
          <w:b w:val="false"/>
          <w:color w:val="000000"/>
          <w:sz w:val="22"/>
        </w:rPr>
        <w:t>(ii)</w:t>
      </w:r>
      <w:r>
        <w:rPr>
          <w:rFonts w:ascii="Times New Roman;sans-serif" w:hAnsi="Times New Roman;sans-serif"/>
          <w:b w:val="false"/>
          <w:color w:val="000000"/>
          <w:sz w:val="24"/>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10" w:after="283"/>
        <w:jc w:val="left"/>
        <w:rPr/>
      </w:pPr>
      <w:r>
        <w:rPr/>
      </w:r>
    </w:p>
    <w:p>
      <w:pPr>
        <w:pStyle w:val="TextBody"/>
        <w:bidi w:val="0"/>
        <w:spacing w:lineRule="auto" w:line="240" w:before="0" w:after="0"/>
        <w:ind w:left="0" w:right="0" w:firstLine="1260"/>
        <w:jc w:val="left"/>
        <w:rPr/>
      </w:pPr>
      <w:r>
        <w:rPr>
          <w:rFonts w:ascii="Times New Roman;sans-serif" w:hAnsi="Times New Roman;sans-serif"/>
          <w:b w:val="false"/>
          <w:color w:val="000000"/>
          <w:sz w:val="24"/>
        </w:rPr>
        <w:t xml:space="preserve">(iii)A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0" w:after="0"/>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definition, persons will be considered to be acting as a group if they are owners of a corporation that enters into a merger, consolidation, purchase or acquisition of stock, or similar business transaction with the Company. Notwithstanding the foregoing, a transaction will not be deemed a Change in Control unless the transaction qualifies as a change in control event within the meaning of Section 409A. Further and for the avoidance of doubt, a transaction will not constitute a Change in Control if its sole purpose is </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28650"/>
                <wp:effectExtent l="0" t="0" r="0" b="0"/>
                <wp:wrapNone/>
                <wp:docPr id="136" name="Frame1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either (i) change the state of the Company’s incorporation or (ii) create a holding company that will be owned in substantially the same proportions by the persons who held the Company’s securities immediately before such transaction.</w:t>
      </w:r>
    </w:p>
    <w:p>
      <w:pPr>
        <w:pStyle w:val="TextBody"/>
        <w:bidi w:val="0"/>
        <w:spacing w:before="11"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means the period beginning three (3) months prior to a Change in Control and ending twelve (12) months following a Change in Control.</w:t>
      </w:r>
    </w:p>
    <w:p>
      <w:pPr>
        <w:pStyle w:val="TextBody"/>
        <w:bidi w:val="0"/>
        <w:spacing w:before="0" w:after="0"/>
        <w:jc w:val="left"/>
        <w:rPr/>
      </w:pPr>
      <w:r>
        <w:rPr/>
      </w:r>
    </w:p>
    <w:p>
      <w:pPr>
        <w:pStyle w:val="TextBody"/>
        <w:bidi w:val="0"/>
        <w:spacing w:lineRule="auto" w:line="240" w:before="90" w:after="283"/>
        <w:ind w:left="0" w:right="0" w:firstLine="1439"/>
        <w:jc w:val="left"/>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COBRA</w:t>
      </w:r>
      <w:r>
        <w:rPr>
          <w:color w:val="000000"/>
        </w:rPr>
        <w:t xml:space="preserve">” </w:t>
      </w:r>
      <w:r>
        <w:rPr>
          <w:rFonts w:ascii="Times New Roman;sans-serif" w:hAnsi="Times New Roman;sans-serif"/>
          <w:b w:val="false"/>
          <w:color w:val="000000"/>
          <w:sz w:val="24"/>
        </w:rPr>
        <w:t>means the Consolidated Omnibus Budget Reconciliation Act of 1985, as amended.</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439"/>
        <w:jc w:val="left"/>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Company Group</w:t>
      </w:r>
      <w:r>
        <w:rPr>
          <w:color w:val="000000"/>
        </w:rPr>
        <w:t xml:space="preserve">” </w:t>
      </w:r>
      <w:r>
        <w:rPr>
          <w:rFonts w:ascii="Times New Roman;sans-serif" w:hAnsi="Times New Roman;sans-serif"/>
          <w:b w:val="false"/>
          <w:color w:val="000000"/>
          <w:sz w:val="24"/>
        </w:rPr>
        <w:t>means the Company and any subsidiaries of the Company.</w:t>
      </w:r>
    </w:p>
    <w:p>
      <w:pPr>
        <w:pStyle w:val="TextBody"/>
        <w:bidi w:val="0"/>
        <w:spacing w:before="0" w:after="0"/>
        <w:ind w:left="0" w:right="0" w:firstLine="360"/>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2"/>
        </w:rPr>
        <w:t>(h)</w:t>
      </w:r>
      <w:r>
        <w:rPr>
          <w:color w:val="000000"/>
        </w:rPr>
        <w:t>“</w:t>
      </w:r>
      <w:r>
        <w:rPr>
          <w:rFonts w:ascii="Times New Roman;sans-serif" w:hAnsi="Times New Roman;sans-serif"/>
          <w:b/>
          <w:i/>
          <w:color w:val="000000"/>
          <w:sz w:val="24"/>
        </w:rPr>
        <w:t>Confidentiality Agreement</w:t>
      </w:r>
      <w:r>
        <w:rPr>
          <w:color w:val="000000"/>
        </w:rPr>
        <w:t xml:space="preserve">” </w:t>
      </w:r>
      <w:r>
        <w:rPr>
          <w:rFonts w:ascii="Times New Roman;sans-serif" w:hAnsi="Times New Roman;sans-serif"/>
          <w:b w:val="false"/>
          <w:color w:val="000000"/>
          <w:sz w:val="24"/>
        </w:rPr>
        <w:t>means the At-Will Employment, Confidential Information, Invention Assignment, and Arbitration Agreement that you previously signed.</w:t>
      </w:r>
    </w:p>
    <w:p>
      <w:pPr>
        <w:pStyle w:val="TextBody"/>
        <w:bidi w:val="0"/>
        <w:spacing w:before="0" w:after="0"/>
        <w:ind w:left="0" w:right="0" w:firstLine="360"/>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means a total and permanent disability as defined in Section 22(e)(3) of the Code.</w:t>
      </w:r>
    </w:p>
    <w:p>
      <w:pPr>
        <w:pStyle w:val="TextBody"/>
        <w:bidi w:val="0"/>
        <w:spacing w:before="0" w:after="0"/>
        <w:ind w:left="0" w:right="0" w:firstLine="360"/>
        <w:jc w:val="left"/>
        <w:rPr/>
      </w:pPr>
      <w:r>
        <w:rPr/>
      </w:r>
    </w:p>
    <w:p>
      <w:pPr>
        <w:pStyle w:val="TextBody"/>
        <w:bidi w:val="0"/>
        <w:spacing w:lineRule="auto" w:line="240" w:before="1" w:after="283"/>
        <w:ind w:left="0" w:right="0" w:firstLine="1439"/>
        <w:jc w:val="left"/>
        <w:rPr/>
      </w:pPr>
      <w:r>
        <w:rPr>
          <w:rFonts w:ascii="Times New Roman;sans-serif" w:hAnsi="Times New Roman;sans-serif"/>
          <w:b w:val="false"/>
          <w:color w:val="000000"/>
          <w:sz w:val="24"/>
        </w:rPr>
        <w:t>(j)</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the termination of the Executive’s employment with the Company Group by the Executive in accordance with the next sentence after the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occurrence of one or more of the following events without the Executive’s express written consent:</w:t>
      </w:r>
    </w:p>
    <w:p>
      <w:pPr>
        <w:pStyle w:val="TextBody"/>
        <w:bidi w:val="0"/>
        <w:spacing w:before="1" w:after="283"/>
        <w:jc w:val="left"/>
        <w:rPr/>
      </w:pPr>
      <w:r>
        <w:rPr/>
      </w:r>
    </w:p>
    <w:p>
      <w:pPr>
        <w:pStyle w:val="TextBody"/>
        <w:bidi w:val="0"/>
        <w:spacing w:lineRule="auto" w:line="240" w:before="90" w:after="283"/>
        <w:ind w:left="0" w:right="0" w:firstLine="1394"/>
        <w:jc w:val="left"/>
        <w:rPr/>
      </w:pPr>
      <w:r>
        <w:rPr>
          <w:rFonts w:ascii="Times New Roman;sans-serif" w:hAnsi="Times New Roman;sans-serif"/>
          <w:b w:val="false"/>
          <w:color w:val="000000"/>
          <w:sz w:val="24"/>
        </w:rPr>
        <w:t xml:space="preserve">(i)A material reduction of the Executive’s authority or responsibilities relative to the Executive’s authority or responsibilities in effect immediately prior to such reduction;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continued employment following a Change in Control with substantially the same duties, authorities, or responsibilities with respect to the Company’s business and operations as in effect immediately prior to the Change in Control will not constitute “Good Reason” (for example, “Good Reason” does not exist if the Executive is employed by the parent corporation or any entity within a group of controlled corporations including the Company or its assets (the “</w:t>
      </w:r>
      <w:r>
        <w:rPr>
          <w:rFonts w:ascii="Times New Roman;sans-serif" w:hAnsi="Times New Roman;sans-serif"/>
          <w:b/>
          <w:i/>
          <w:color w:val="000000"/>
          <w:sz w:val="24"/>
        </w:rPr>
        <w:t>Parent Group</w:t>
      </w:r>
      <w:r>
        <w:rPr>
          <w:color w:val="000000"/>
        </w:rPr>
        <w:t>”</w:t>
      </w:r>
      <w:r>
        <w:rPr>
          <w:rFonts w:ascii="Times New Roman;sans-serif" w:hAnsi="Times New Roman;sans-serif"/>
          <w:b w:val="false"/>
          <w:color w:val="000000"/>
          <w:sz w:val="24"/>
        </w:rPr>
        <w:t>) with substantially the same duties, authorities, or responsibilities with respect to the Company’s business that the Executive had immediately prior to the Change in Control regardless of whether the Executive’s title is revised to reflect the Executive’s placement within the overall corporate hierarchy of the Parent Group or whether the Executive provides services to a subsidiary, affiliate, business unit, or otherwise);</w:t>
      </w:r>
    </w:p>
    <w:p>
      <w:pPr>
        <w:pStyle w:val="TextBody"/>
        <w:bidi w:val="0"/>
        <w:spacing w:before="10" w:after="283"/>
        <w:jc w:val="left"/>
        <w:rPr/>
      </w:pPr>
      <w:r>
        <w:rPr/>
      </w:r>
    </w:p>
    <w:p>
      <w:pPr>
        <w:pStyle w:val="TextBody"/>
        <w:bidi w:val="0"/>
        <w:spacing w:lineRule="auto" w:line="240" w:before="1" w:after="283"/>
        <w:ind w:left="0" w:right="0" w:firstLine="1327"/>
        <w:jc w:val="left"/>
        <w:rPr/>
      </w:pPr>
      <w:r>
        <w:rPr>
          <w:rFonts w:ascii="Times New Roman;sans-serif" w:hAnsi="Times New Roman;sans-serif"/>
          <w:b w:val="false"/>
          <w:color w:val="000000"/>
          <w:sz w:val="24"/>
        </w:rPr>
        <w:t xml:space="preserve">(ii)A material reduction of the Executive’s base salary or bonus opportunity, except for reductions that are in proportion to any salary/bonus reduction program approved by the Board that affects a majority of the senior executives of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an aggregate reduction of 10% or less will in no instance be deemed material;</w:t>
      </w:r>
    </w:p>
    <w:p>
      <w:pPr>
        <w:pStyle w:val="TextBody"/>
        <w:bidi w:val="0"/>
        <w:spacing w:before="10" w:after="283"/>
        <w:jc w:val="left"/>
        <w:rPr/>
      </w:pPr>
      <w:r>
        <w:rPr/>
      </w:r>
    </w:p>
    <w:p>
      <w:pPr>
        <w:pStyle w:val="TextBody"/>
        <w:bidi w:val="0"/>
        <w:spacing w:lineRule="auto" w:line="240" w:before="0" w:after="0"/>
        <w:ind w:left="0" w:right="0" w:firstLine="12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(iii)A material change in the geographic location at which the Executive must perform services (for purposes of this Agreement, the </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28650"/>
                <wp:effectExtent l="0" t="0" r="0" b="0"/>
                <wp:wrapNone/>
                <wp:docPr id="137" name="Frame1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Executive’s relocation to a facility or a location less than thirty (30) miles from the Executive’s then- present location will not be considered a material change in geographic location); or</w:t>
      </w:r>
    </w:p>
    <w:p>
      <w:pPr>
        <w:pStyle w:val="TextBody"/>
        <w:bidi w:val="0"/>
        <w:spacing w:before="10" w:after="283"/>
        <w:jc w:val="left"/>
        <w:rPr/>
      </w:pPr>
      <w:r>
        <w:rPr/>
      </w:r>
    </w:p>
    <w:p>
      <w:pPr>
        <w:pStyle w:val="TextBody"/>
        <w:bidi w:val="0"/>
        <w:spacing w:lineRule="auto" w:line="240" w:before="0" w:after="0"/>
        <w:ind w:left="0" w:right="0" w:firstLine="1274"/>
        <w:jc w:val="left"/>
        <w:rPr>
          <w:rFonts w:ascii="Times New Roman;sans-serif" w:hAnsi="Times New Roman;sans-serif"/>
          <w:b w:val="false"/>
          <w:color w:val="000000"/>
          <w:sz w:val="24"/>
        </w:rPr>
      </w:pPr>
      <w:r>
        <w:rPr>
          <w:rFonts w:ascii="Times New Roman;sans-serif" w:hAnsi="Times New Roman;sans-serif"/>
          <w:b w:val="false"/>
          <w:color w:val="000000"/>
          <w:sz w:val="24"/>
        </w:rPr>
        <w:t>(iv)Any material breach by the Company of any material provision of this Agreement.</w:t>
      </w:r>
    </w:p>
    <w:p>
      <w:pPr>
        <w:pStyle w:val="TextBody"/>
        <w:bidi w:val="0"/>
        <w:spacing w:before="10" w:after="283"/>
        <w:jc w:val="left"/>
        <w:rPr/>
      </w:pPr>
      <w:r>
        <w:rPr/>
      </w:r>
    </w:p>
    <w:p>
      <w:pPr>
        <w:pStyle w:val="TextBody"/>
        <w:bidi w:val="0"/>
        <w:spacing w:lineRule="auto" w:line="240" w:before="0" w:after="0"/>
        <w:ind w:left="0" w:right="0" w:firstLine="1439"/>
        <w:jc w:val="left"/>
        <w:rPr>
          <w:rFonts w:ascii="Times New Roman;sans-serif" w:hAnsi="Times New Roman;sans-serif"/>
          <w:b w:val="false"/>
          <w:color w:val="000000"/>
          <w:sz w:val="24"/>
        </w:rPr>
      </w:pPr>
      <w:r>
        <w:rPr>
          <w:rFonts w:ascii="Times New Roman;sans-serif" w:hAnsi="Times New Roman;sans-serif"/>
          <w:b w:val="false"/>
          <w:color w:val="000000"/>
          <w:sz w:val="24"/>
        </w:rPr>
        <w:t>In order for the termination of the Executive’s employment with a Company Group member to be for Good Reason, the Executive must not terminate employment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left"/>
        <w:rPr/>
      </w:pPr>
      <w:r>
        <w:rPr/>
      </w:r>
    </w:p>
    <w:p>
      <w:pPr>
        <w:pStyle w:val="TextBody"/>
        <w:bidi w:val="0"/>
        <w:spacing w:lineRule="auto" w:line="240" w:before="90" w:after="283"/>
        <w:ind w:left="0" w:right="0" w:firstLine="1439"/>
        <w:jc w:val="left"/>
        <w:rPr/>
      </w:pPr>
      <w:r>
        <w:rPr>
          <w:rFonts w:ascii="Times New Roman;sans-serif" w:hAnsi="Times New Roman;sans-serif"/>
          <w:b w:val="false"/>
          <w:color w:val="000000"/>
          <w:sz w:val="24"/>
        </w:rPr>
        <w:t>(k)</w:t>
      </w:r>
      <w:r>
        <w:rPr>
          <w:color w:val="000000"/>
        </w:rPr>
        <w:t>“</w:t>
      </w:r>
      <w:r>
        <w:rPr>
          <w:rFonts w:ascii="Times New Roman;sans-serif" w:hAnsi="Times New Roman;sans-serif"/>
          <w:b/>
          <w:i/>
          <w:color w:val="000000"/>
          <w:sz w:val="24"/>
        </w:rPr>
        <w:t>Qualifying Pre-CIC Termination</w:t>
      </w:r>
      <w:r>
        <w:rPr>
          <w:color w:val="000000"/>
        </w:rPr>
        <w:t xml:space="preserve">” </w:t>
      </w:r>
      <w:r>
        <w:rPr>
          <w:rFonts w:ascii="Times New Roman;sans-serif" w:hAnsi="Times New Roman;sans-serif"/>
          <w:b w:val="false"/>
          <w:color w:val="000000"/>
          <w:sz w:val="24"/>
        </w:rPr>
        <w:t>means a Qualifying CIC Termination that occurs prior to the date of the Change in Control.</w:t>
      </w:r>
    </w:p>
    <w:p>
      <w:pPr>
        <w:pStyle w:val="TextBody"/>
        <w:bidi w:val="0"/>
        <w:spacing w:before="10" w:after="283"/>
        <w:jc w:val="left"/>
        <w:rPr/>
      </w:pPr>
      <w:r>
        <w:rPr/>
      </w:r>
    </w:p>
    <w:p>
      <w:pPr>
        <w:pStyle w:val="TextBody"/>
        <w:bidi w:val="0"/>
        <w:spacing w:lineRule="auto" w:line="240" w:before="1" w:after="283"/>
        <w:ind w:left="0" w:right="0" w:firstLine="1439"/>
        <w:jc w:val="left"/>
        <w:rPr/>
      </w:pPr>
      <w:r>
        <w:rPr>
          <w:rFonts w:ascii="Times New Roman;sans-serif" w:hAnsi="Times New Roman;sans-serif"/>
          <w:b w:val="false"/>
          <w:color w:val="000000"/>
          <w:sz w:val="24"/>
        </w:rPr>
        <w:t>(l)</w:t>
      </w:r>
      <w:r>
        <w:rPr>
          <w:color w:val="000000"/>
        </w:rPr>
        <w:t>“</w:t>
      </w:r>
      <w:r>
        <w:rPr>
          <w:rFonts w:ascii="Times New Roman;sans-serif" w:hAnsi="Times New Roman;sans-serif"/>
          <w:b/>
          <w:i/>
          <w:color w:val="000000"/>
          <w:sz w:val="24"/>
        </w:rPr>
        <w:t>Qualifying Termination</w:t>
      </w:r>
      <w:r>
        <w:rPr>
          <w:color w:val="000000"/>
        </w:rPr>
        <w:t xml:space="preserve">” </w:t>
      </w:r>
      <w:r>
        <w:rPr>
          <w:rFonts w:ascii="Times New Roman;sans-serif" w:hAnsi="Times New Roman;sans-serif"/>
          <w:b w:val="false"/>
          <w:color w:val="000000"/>
          <w:sz w:val="24"/>
        </w:rPr>
        <w:t>means a termination of the Executive’s employment either (i) by a Company Group member without Cause (excluding by reason of the Executive’s death or Disability) or (ii) by the Executive for Good Reason, in either case, during the Change in Control Period (a “</w:t>
      </w:r>
      <w:r>
        <w:rPr>
          <w:rFonts w:ascii="Times New Roman;sans-serif" w:hAnsi="Times New Roman;sans-serif"/>
          <w:b/>
          <w:i/>
          <w:color w:val="000000"/>
          <w:sz w:val="24"/>
        </w:rPr>
        <w:t>Qualifying CIC Termination</w:t>
      </w:r>
      <w:r>
        <w:rPr>
          <w:color w:val="000000"/>
        </w:rPr>
        <w:t>”</w:t>
      </w:r>
      <w:r>
        <w:rPr>
          <w:rFonts w:ascii="Times New Roman;sans-serif" w:hAnsi="Times New Roman;sans-serif"/>
          <w:b w:val="false"/>
          <w:color w:val="000000"/>
          <w:sz w:val="24"/>
        </w:rPr>
        <w:t>) or outside of the Change in Control Period (a “</w:t>
      </w:r>
      <w:r>
        <w:rPr>
          <w:rFonts w:ascii="Times New Roman;sans-serif" w:hAnsi="Times New Roman;sans-serif"/>
          <w:b/>
          <w:i/>
          <w:color w:val="000000"/>
          <w:sz w:val="24"/>
        </w:rPr>
        <w:t>Qualifying Non-CIC Termination</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(m)</w:t>
      </w:r>
      <w:r>
        <w:rPr>
          <w:color w:val="000000"/>
        </w:rPr>
        <w:t>“</w:t>
      </w:r>
      <w:r>
        <w:rPr>
          <w:rFonts w:ascii="Times New Roman;sans-serif" w:hAnsi="Times New Roman;sans-serif"/>
          <w:b/>
          <w:i/>
          <w:color w:val="000000"/>
          <w:sz w:val="24"/>
        </w:rPr>
        <w:t>Salary</w:t>
      </w:r>
      <w:r>
        <w:rPr>
          <w:color w:val="000000"/>
        </w:rPr>
        <w:t xml:space="preserve">” </w:t>
      </w:r>
      <w:r>
        <w:rPr>
          <w:rFonts w:ascii="Times New Roman;sans-serif" w:hAnsi="Times New Roman;sans-serif"/>
          <w:b w:val="false"/>
          <w:color w:val="000000"/>
          <w:sz w:val="24"/>
        </w:rPr>
        <w:t>means the Executive’s annual base salary as in effect immediately prior to the Executive’s Qualifying Termination (or if the termination is due to a resignation for Good Reason based on a material reduction in base salary, then the Executive’s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annual base salary in effect immediately prior to the reduction) or, if the Executive’s Qualifying Termination is a Qualifying CIC Termination and the amount is greater, at the level in effect immediately prior to the Change in Control.</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(n)</w:t>
      </w:r>
      <w:r>
        <w:rPr>
          <w:color w:val="000000"/>
        </w:rPr>
        <w:t>“</w:t>
      </w:r>
      <w:r>
        <w:rPr>
          <w:rFonts w:ascii="Times New Roman;sans-serif" w:hAnsi="Times New Roman;sans-serif"/>
          <w:b/>
          <w:i/>
          <w:color w:val="000000"/>
          <w:sz w:val="24"/>
        </w:rPr>
        <w:t>Target Bonus</w:t>
      </w:r>
      <w:r>
        <w:rPr>
          <w:color w:val="000000"/>
        </w:rPr>
        <w:t xml:space="preserve">” </w:t>
      </w:r>
      <w:r>
        <w:rPr>
          <w:rFonts w:ascii="Times New Roman;sans-serif" w:hAnsi="Times New Roman;sans-serif"/>
          <w:b w:val="false"/>
          <w:color w:val="000000"/>
          <w:sz w:val="24"/>
        </w:rPr>
        <w:t>means the Executive’s annual (or annualized, as applicable) target bonus in effect immediately prior to the Executive’s Qualifying Termination or, if the Executive’s Qualifying Termination occurs during the Change in Control Period and</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amount is greater, the Executive’s annual (or annualized, if applicable) target bonus in effect immediately prior to the Change in Control.</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4"/>
        </w:rPr>
        <w:t>8.     Successors</w:t>
      </w:r>
      <w:r>
        <w:rPr>
          <w:rFonts w:ascii="Times New Roman;sans-serif" w:hAnsi="Times New Roman;sans-serif"/>
          <w:b w:val="false"/>
          <w:color w:val="000000"/>
          <w:sz w:val="24"/>
        </w:rPr>
        <w:t>. This Agreement will be binding upon and inure to the benefit of</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assignment, transfer, conveyance, or other disposition of the Executive’s right to compensation or other benefits will be null and void.</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color w:val="000000"/>
          <w:sz w:val="24"/>
        </w:rPr>
        <w:t>9.     Notice</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All notices and other communications required or permitted under this Agreement shall be in writing and will be effectively given (i) upon actual delivery </w:t>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28650"/>
                <wp:effectExtent l="0" t="0" r="0" b="0"/>
                <wp:wrapNone/>
                <wp:docPr id="138" name="Frame1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the party to be notified, (ii) upon transmission by email, (iii) twenty-four (24) hours after confirmed facsimile transmission, (iv) 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shall have most recently furnished to the Company in writing, and (B) if to the Company, at the following address: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Udemy, Inc.</w:t>
      </w:r>
    </w:p>
    <w:p>
      <w:pPr>
        <w:pStyle w:val="TextBody"/>
        <w:bidi w:val="0"/>
        <w:spacing w:lineRule="auto" w:line="240" w:before="0" w:after="0"/>
        <w:jc w:val="left"/>
        <w:rPr/>
      </w:pPr>
      <w:r>
        <w:rPr>
          <w:rFonts w:ascii="Times New Roman;sans-serif" w:hAnsi="Times New Roman;sans-serif"/>
          <w:b w:val="false"/>
          <w:color w:val="000000"/>
          <w:sz w:val="24"/>
        </w:rPr>
        <w:t>600 Harrison Street,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Floor San Francisco, CA 94107 Attention: General Counsel</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w:t>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 days after the giving of the notice).</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color w:val="000000"/>
          <w:sz w:val="24"/>
        </w:rPr>
        <w:t>10.     Resignation</w:t>
      </w:r>
      <w:r>
        <w:rPr>
          <w:rFonts w:ascii="Times New Roman;sans-serif" w:hAnsi="Times New Roman;sans-serif"/>
          <w:b w:val="false"/>
          <w:color w:val="000000"/>
          <w:sz w:val="24"/>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4"/>
        </w:rPr>
        <w:t>11.    Miscellaneous Provisions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Duty to Mitigate</w:t>
      </w:r>
      <w:r>
        <w:rPr>
          <w:rFonts w:ascii="Times New Roman;sans-serif" w:hAnsi="Times New Roman;sans-serif"/>
          <w:b w:val="false"/>
          <w:color w:val="000000"/>
          <w:sz w:val="24"/>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before="1" w:after="283"/>
        <w:jc w:val="left"/>
        <w:rPr/>
      </w:pPr>
      <w:r>
        <w:rPr/>
      </w:r>
    </w:p>
    <w:p>
      <w:pPr>
        <w:pStyle w:val="TextBody"/>
        <w:bidi w:val="0"/>
        <w:spacing w:lineRule="auto" w:line="240" w:before="90" w:after="283"/>
        <w:ind w:left="0" w:right="0" w:firstLine="1439"/>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All captions and section headings used in this Agreement are for convenient reference only and do not form a part of this Agreement.</w:t>
      </w:r>
    </w:p>
    <w:p>
      <w:pPr>
        <w:pStyle w:val="TextBody"/>
        <w:bidi w:val="0"/>
        <w:spacing w:before="11"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w:t>
      </w:r>
    </w:p>
    <w:p>
      <w:pPr>
        <w:pStyle w:val="TextBody"/>
        <w:bidi w:val="0"/>
        <w:spacing w:before="0" w:after="0"/>
        <w:jc w:val="left"/>
        <w:rPr/>
      </w:pPr>
      <w:r>
        <w:rPr/>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28650"/>
                <wp:effectExtent l="0" t="0" r="0" b="0"/>
                <wp:wrapNone/>
                <wp:docPr id="139" name="Frame1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ind w:left="0" w:right="0" w:firstLine="1439"/>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the laws of the State of California without regard to its conflict of law provisions. To the extent that any lawsuit is permitted under this Agreement, Employee hereby expressly consents to the personal and exclusive jurisdiction and venue of the state courts located in San Francisco County, California, or the US federal courts for the Northern District of California, and no other courts, regardless of where Employee’s services are performed.</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Any and all controversies, claims, or disputes with anyone under this Agreement (including the Company and any employee, officer, director, stockholder or benefit plan of the Company in their capacity as such or otherwise) arising out of, relating to, or resulting from the Executive’s employment with the Company Group, shall be subject to arbitration in accordance with the provisions of the Confidentiality Agreement.</w:t>
      </w:r>
    </w:p>
    <w:p>
      <w:pPr>
        <w:pStyle w:val="TextBody"/>
        <w:bidi w:val="0"/>
        <w:spacing w:before="11"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10" w:after="283"/>
        <w:jc w:val="left"/>
        <w:rPr/>
      </w:pPr>
      <w:r>
        <w:rPr/>
      </w:r>
    </w:p>
    <w:p>
      <w:pPr>
        <w:pStyle w:val="TextBody"/>
        <w:bidi w:val="0"/>
        <w:spacing w:lineRule="auto" w:line="240" w:before="0" w:after="0"/>
        <w:ind w:left="0" w:right="0" w:firstLine="1439"/>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before="1" w:after="283"/>
        <w:jc w:val="left"/>
        <w:rPr/>
      </w:pPr>
      <w:r>
        <w:rPr/>
      </w:r>
    </w:p>
    <w:p>
      <w:pPr>
        <w:pStyle w:val="TextBody"/>
        <w:bidi w:val="0"/>
        <w:spacing w:lineRule="auto" w:line="240" w:before="90" w:after="283"/>
        <w:ind w:left="0" w:right="0" w:firstLine="1439"/>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center"/>
        <w:rPr/>
      </w:pPr>
      <w:r>
        <w:rPr/>
      </w: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10.17</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28650"/>
                <wp:effectExtent l="0" t="0" r="0" b="0"/>
                <wp:wrapNone/>
                <wp:docPr id="140" name="Frame1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25.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80" w:after="283"/>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By its signature below, each of the parties signifies its acceptance of the terms of this Agreement, in the case of the Company by its duly authorized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3" w:after="283"/>
        <w:jc w:val="left"/>
        <w:rPr>
          <w:rFonts w:ascii="Times New Roman;sans-serif" w:hAnsi="Times New Roman;sans-serif"/>
          <w:b/>
          <w:color w:val="000000"/>
          <w:sz w:val="24"/>
        </w:rPr>
      </w:pPr>
      <w:r>
        <w:rPr>
          <w:rFonts w:ascii="Times New Roman;sans-serif" w:hAnsi="Times New Roman;sans-serif"/>
          <w:b/>
          <w:color w:val="000000"/>
          <w:sz w:val="24"/>
        </w:rPr>
        <w:t>UDEMY, INC.</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187"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90" w:after="283"/>
        <w:jc w:val="left"/>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before="0" w:after="0"/>
        <w:jc w:val="left"/>
        <w:rPr/>
      </w:pPr>
      <w:r>
        <w:rPr/>
      </w:r>
    </w:p>
    <w:p>
      <w:pPr>
        <w:pStyle w:val="TextBody"/>
        <w:bidi w:val="0"/>
        <w:spacing w:lineRule="auto" w:line="240"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183" w:after="283"/>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28650"/>
                <wp:effectExtent l="0" t="0" r="0" b="0"/>
                <wp:wrapNone/>
                <wp:docPr id="141" name="Frame1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180" w:after="160"/>
        <w:jc w:val="center"/>
        <w:rPr/>
      </w:pPr>
      <w:r>
        <w:rPr/>
      </w:r>
    </w:p>
    <w:p>
      <w:pPr>
        <w:pStyle w:val="TextBody"/>
        <w:bidi w:val="0"/>
        <w:spacing w:lineRule="auto" w:line="333" w:before="180" w:after="16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160"/>
        <w:jc w:val="left"/>
        <w:rPr/>
      </w:pPr>
      <w:r>
        <w:rPr/>
      </w:r>
    </w:p>
    <w:p>
      <w:pPr>
        <w:pStyle w:val="TextBody"/>
        <w:bidi w:val="0"/>
        <w:spacing w:lineRule="auto" w:line="333"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Registration Statements Nos. 333-270052, 333-261421, and 333-260595 on Form S-8 of our reports dated February 26, 2024, relating to the consolidated financial statements of Udemy, Inc. and subsidiaries (“the Company) and the effectiveness of the Company's internal control over financial reporting, appearing in the Annual Report on Form 10-K for the year ended December 31, 2023.</w:t>
      </w:r>
    </w:p>
    <w:p>
      <w:pPr>
        <w:pStyle w:val="TextBody"/>
        <w:bidi w:val="0"/>
        <w:spacing w:lineRule="auto" w:line="333" w:before="18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before="180" w:after="160"/>
        <w:jc w:val="left"/>
        <w:rPr/>
      </w:pPr>
      <w:r>
        <w:rPr/>
      </w:r>
    </w:p>
    <w:p>
      <w:pPr>
        <w:pStyle w:val="TextBody"/>
        <w:bidi w:val="0"/>
        <w:spacing w:lineRule="auto" w:line="333"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San Francisco, California</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2024</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4" w:before="0" w:after="16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Exhibit 31.1 </w:t>
      </w:r>
    </w:p>
    <w:p>
      <w:pPr>
        <w:pStyle w:val="TextBody"/>
        <w:bidi w:val="0"/>
        <w:spacing w:lineRule="auto" w:line="403" w:before="160" w:after="283"/>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 PURSUANT TO</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RULES 13a-14(a) AND 15d-14(a) UNDER THE SECURITIES EXCHANGE ACT OF 1934,</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bidi w:val="0"/>
        <w:spacing w:lineRule="auto" w:line="403"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 Greg Brown, certify that: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Udemy, Inc.;</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60" w:before="0" w:after="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60" w:before="0" w:after="48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Any fraud, whether or not material, that involves management or other employees who have a significant role in the registrant’s internal control over financial reporting. </w:t>
      </w:r>
    </w:p>
    <w:tbl>
      <w:tblPr>
        <w:tblW w:w="4811" w:type="dxa"/>
        <w:jc w:val="left"/>
        <w:tblInd w:w="0" w:type="dxa"/>
        <w:tblLayout w:type="fixed"/>
        <w:tblCellMar>
          <w:top w:w="28" w:type="dxa"/>
          <w:left w:w="28" w:type="dxa"/>
          <w:bottom w:w="28" w:type="dxa"/>
          <w:right w:w="28" w:type="dxa"/>
        </w:tblCellMar>
      </w:tblPr>
      <w:tblGrid>
        <w:gridCol w:w="671"/>
        <w:gridCol w:w="592"/>
        <w:gridCol w:w="596"/>
        <w:gridCol w:w="109"/>
        <w:gridCol w:w="109"/>
        <w:gridCol w:w="109"/>
        <w:gridCol w:w="120"/>
        <w:gridCol w:w="120"/>
        <w:gridCol w:w="120"/>
        <w:gridCol w:w="660"/>
        <w:gridCol w:w="660"/>
        <w:gridCol w:w="945"/>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65"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Times New Roman;sans-serif" w:hAnsi="Times New Roman;sans-serif"/>
                <w:b w:val="false"/>
                <w:color w:val="000000"/>
                <w:sz w:val="18"/>
              </w:rPr>
              <w:t xml:space="preserve">/s/ </w:t>
            </w:r>
            <w:r>
              <w:rPr>
                <w:rFonts w:ascii="Times New Roman;sans-serif" w:hAnsi="Times New Roman;sans-serif"/>
                <w:b w:val="false"/>
                <w:i/>
                <w:color w:val="000000"/>
                <w:sz w:val="18"/>
              </w:rPr>
              <w:t>Greg Brown</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Greg Brown</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4" w:before="0" w:after="16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Exhibit 31.2 </w:t>
      </w:r>
    </w:p>
    <w:p>
      <w:pPr>
        <w:pStyle w:val="TextBody"/>
        <w:bidi w:val="0"/>
        <w:spacing w:lineRule="auto" w:line="403" w:before="160" w:after="283"/>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 PURSUANT TO</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RULES 13a-14(a) AND 15d-14(a) UNDER THE SECURITIES EXCHANGE ACT OF 1934,</w:t>
      </w:r>
    </w:p>
    <w:p>
      <w:pPr>
        <w:pStyle w:val="TextBody"/>
        <w:bidi w:val="0"/>
        <w:spacing w:lineRule="auto" w:line="40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bidi w:val="0"/>
        <w:spacing w:lineRule="auto" w:line="403"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 Sarah Blanchard, certify that: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Udemy, Inc.;</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60" w:before="0" w:after="0"/>
        <w:ind w:left="0" w:right="0" w:hanging="360"/>
        <w:jc w:val="left"/>
        <w:rPr/>
      </w:pPr>
      <w:r>
        <w:rPr>
          <w:rFonts w:ascii="Arial;sans-serif" w:hAnsi="Arial;sans-serif"/>
          <w:b w:val="false"/>
          <w:color w:val="000000"/>
          <w:sz w:val="18"/>
        </w:rPr>
        <w:t>(d)</w:t>
      </w:r>
      <w:r>
        <w:rPr>
          <w:rFonts w:ascii="Times New Roman;sans-serif" w:hAnsi="Times New Roman;sans-serif"/>
          <w:b w:val="false"/>
          <w:color w:val="000000"/>
          <w:sz w:val="18"/>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6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60" w:before="0" w:after="0"/>
        <w:ind w:left="0" w:right="0" w:hanging="360"/>
        <w:jc w:val="left"/>
        <w:rPr/>
      </w:pPr>
      <w:r>
        <w:rPr>
          <w:rFonts w:ascii="Arial;sans-serif" w:hAnsi="Arial;sans-serif"/>
          <w:b w:val="false"/>
          <w:color w:val="000000"/>
          <w:sz w:val="18"/>
        </w:rPr>
        <w:t>(a)</w:t>
      </w:r>
      <w:r>
        <w:rPr>
          <w:rFonts w:ascii="Times New Roman;sans-serif" w:hAnsi="Times New Roman;sans-serif"/>
          <w:b w:val="false"/>
          <w:color w:val="000000"/>
          <w:sz w:val="18"/>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60" w:before="0" w:after="480"/>
        <w:ind w:left="0" w:right="0" w:hanging="360"/>
        <w:jc w:val="left"/>
        <w:rPr/>
      </w:pPr>
      <w:r>
        <w:rPr>
          <w:rFonts w:ascii="Arial;sans-serif" w:hAnsi="Arial;sans-serif"/>
          <w:b w:val="false"/>
          <w:color w:val="000000"/>
          <w:sz w:val="18"/>
        </w:rPr>
        <w:t>(b)</w:t>
      </w:r>
      <w:r>
        <w:rPr>
          <w:rFonts w:ascii="Times New Roman;sans-serif" w:hAnsi="Times New Roman;sans-serif"/>
          <w:b w:val="false"/>
          <w:color w:val="000000"/>
          <w:sz w:val="18"/>
        </w:rPr>
        <w:t xml:space="preserve">Any fraud, whether or not material, that involves management or other employees who have a significant role in the registrant’s internal control over financial reporting. </w:t>
      </w:r>
    </w:p>
    <w:tbl>
      <w:tblPr>
        <w:tblW w:w="4825" w:type="dxa"/>
        <w:jc w:val="left"/>
        <w:tblInd w:w="0" w:type="dxa"/>
        <w:tblLayout w:type="fixed"/>
        <w:tblCellMar>
          <w:top w:w="28" w:type="dxa"/>
          <w:left w:w="28" w:type="dxa"/>
          <w:bottom w:w="28" w:type="dxa"/>
          <w:right w:w="28" w:type="dxa"/>
        </w:tblCellMar>
      </w:tblPr>
      <w:tblGrid>
        <w:gridCol w:w="671"/>
        <w:gridCol w:w="592"/>
        <w:gridCol w:w="596"/>
        <w:gridCol w:w="109"/>
        <w:gridCol w:w="109"/>
        <w:gridCol w:w="109"/>
        <w:gridCol w:w="120"/>
        <w:gridCol w:w="120"/>
        <w:gridCol w:w="120"/>
        <w:gridCol w:w="668"/>
        <w:gridCol w:w="668"/>
        <w:gridCol w:w="943"/>
      </w:tblGrid>
      <w:tr>
        <w:trPr/>
        <w:tc>
          <w:tcPr>
            <w:tcW w:w="67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79"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Times New Roman;sans-serif" w:hAnsi="Times New Roman;sans-serif"/>
                <w:b w:val="false"/>
                <w:color w:val="000000"/>
                <w:sz w:val="18"/>
              </w:rPr>
              <w:t xml:space="preserve">/s/ </w:t>
            </w:r>
            <w:r>
              <w:rPr>
                <w:rFonts w:ascii="Times New Roman;sans-serif" w:hAnsi="Times New Roman;sans-serif"/>
                <w:b w:val="false"/>
                <w:i/>
                <w:color w:val="000000"/>
                <w:sz w:val="18"/>
              </w:rPr>
              <w:t>Sarah Blanchard</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Sarah Blanchard</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Financial Officer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403" w:before="36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360"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Udemy, Inc. (the “Company”) for the period ended December 31,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information contained in the Report fairly presents, in all material respects, the financial condition and results of operations of the Company.</w:t>
            </w:r>
          </w:p>
        </w:tc>
      </w:tr>
    </w:tbl>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r>
    </w:p>
    <w:tbl>
      <w:tblPr>
        <w:tblW w:w="533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20"/>
        <w:gridCol w:w="120"/>
        <w:gridCol w:w="120"/>
        <w:gridCol w:w="746"/>
        <w:gridCol w:w="746"/>
        <w:gridCol w:w="10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550"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Arial;sans-serif" w:hAnsi="Arial;sans-serif"/>
                <w:b w:val="false"/>
                <w:color w:val="000000"/>
                <w:sz w:val="18"/>
              </w:rPr>
              <w:t xml:space="preserve">/s/ </w:t>
            </w:r>
            <w:r>
              <w:rPr>
                <w:rFonts w:ascii="Arial;sans-serif" w:hAnsi="Arial;sans-serif"/>
                <w:b w:val="false"/>
                <w:i/>
                <w:color w:val="000000"/>
                <w:sz w:val="18"/>
              </w:rPr>
              <w:t>Greg Brown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Greg Brown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President and,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3"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403" w:before="36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403"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403"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Udemy, Inc. (the “Company”) for the period ended December 31, 2023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18"/>
              </w:rPr>
            </w:pPr>
            <w:r>
              <w:rPr>
                <w:rFonts w:ascii="Arial;sans-serif" w:hAnsi="Arial;sans-serif"/>
                <w:b w:val="false"/>
                <w:color w:val="000000"/>
                <w:sz w:val="18"/>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360" w:before="60" w:after="283"/>
              <w:jc w:val="left"/>
              <w:rPr>
                <w:rFonts w:ascii="Arial;sans-serif" w:hAnsi="Arial;sans-serif"/>
                <w:b w:val="false"/>
                <w:color w:val="000000"/>
                <w:sz w:val="18"/>
              </w:rPr>
            </w:pPr>
            <w:r>
              <w:rPr>
                <w:rFonts w:ascii="Arial;sans-serif" w:hAnsi="Arial;sans-serif"/>
                <w:b w:val="false"/>
                <w:color w:val="000000"/>
                <w:sz w:val="18"/>
              </w:rPr>
              <w:t>The information contained in the Report fairly presents, in all material respects, the financial condition and results of operations of the Company.</w:t>
            </w:r>
          </w:p>
        </w:tc>
      </w:tr>
    </w:tbl>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r>
    </w:p>
    <w:tbl>
      <w:tblPr>
        <w:tblW w:w="524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20"/>
        <w:gridCol w:w="120"/>
        <w:gridCol w:w="120"/>
        <w:gridCol w:w="719"/>
        <w:gridCol w:w="719"/>
        <w:gridCol w:w="102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403" w:before="0" w:after="0"/>
              <w:jc w:val="left"/>
              <w:rPr>
                <w:color w:val="000000"/>
              </w:rPr>
            </w:pPr>
            <w:r>
              <w:rPr>
                <w:color w:val="000000"/>
              </w:rPr>
              <w:t>  </w:t>
            </w:r>
          </w:p>
          <w:p>
            <w:pPr>
              <w:pStyle w:val="TableContents"/>
              <w:bidi w:val="0"/>
              <w:spacing w:lineRule="auto" w:line="403" w:before="0" w:after="0"/>
              <w:jc w:val="left"/>
              <w:rPr>
                <w:rFonts w:ascii="Arial;sans-serif" w:hAnsi="Arial;sans-serif"/>
                <w:b w:val="false"/>
                <w:color w:val="000000"/>
                <w:sz w:val="18"/>
              </w:rPr>
            </w:pPr>
            <w:r>
              <w:rPr>
                <w:rFonts w:ascii="Arial;sans-serif" w:hAnsi="Arial;sans-serif"/>
                <w:b w:val="false"/>
                <w:color w:val="000000"/>
                <w:sz w:val="18"/>
              </w:rPr>
              <w:t>By:</w:t>
            </w:r>
          </w:p>
        </w:tc>
        <w:tc>
          <w:tcPr>
            <w:tcW w:w="2460" w:type="dxa"/>
            <w:gridSpan w:val="3"/>
            <w:tcBorders/>
            <w:tcMar>
              <w:top w:w="0" w:type="dxa"/>
              <w:left w:w="0" w:type="dxa"/>
              <w:bottom w:w="0" w:type="dxa"/>
              <w:right w:w="0" w:type="dxa"/>
            </w:tcMar>
            <w:vAlign w:val="center"/>
          </w:tcPr>
          <w:p>
            <w:pPr>
              <w:pStyle w:val="TableContents"/>
              <w:bidi w:val="0"/>
              <w:spacing w:lineRule="auto" w:line="403" w:before="0" w:after="0"/>
              <w:jc w:val="center"/>
              <w:rPr/>
            </w:pPr>
            <w:r>
              <w:rPr>
                <w:rFonts w:ascii="Arial;sans-serif" w:hAnsi="Arial;sans-serif"/>
                <w:b w:val="false"/>
                <w:color w:val="000000"/>
                <w:sz w:val="18"/>
              </w:rPr>
              <w:t xml:space="preserve">/s/ </w:t>
            </w:r>
            <w:r>
              <w:rPr>
                <w:rFonts w:ascii="Arial;sans-serif" w:hAnsi="Arial;sans-serif"/>
                <w:b w:val="false"/>
                <w:i/>
                <w:color w:val="000000"/>
                <w:sz w:val="18"/>
              </w:rPr>
              <w:t>Sarah Blanchard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Sarah Blanchard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8"/>
              </w:rPr>
            </w:pPr>
            <w:r>
              <w:rPr>
                <w:rFonts w:ascii="Arial;sans-serif" w:hAnsi="Arial;sans-serif"/>
                <w:b/>
                <w:i/>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UDEMY,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CLAWBACK POLICY</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Adopted April 18, 2023; as amended August 10, 2023</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Udemy,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is committed to strong corporate governance. As part of this commitment, the Compensation Committee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of the Company’s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adopted this Amended and Restated Clawback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which supersedes in full the original Clawback Policy as adopted on April 18, 2023 (the “</w:t>
      </w:r>
      <w:r>
        <w:rPr>
          <w:rFonts w:ascii="Times New Roman;sans-serif" w:hAnsi="Times New Roman;sans-serif"/>
          <w:b/>
          <w:i/>
          <w:color w:val="000000"/>
          <w:sz w:val="24"/>
        </w:rPr>
        <w:t>Prior Policy</w:t>
      </w:r>
      <w:r>
        <w:rPr>
          <w:color w:val="000000"/>
        </w:rPr>
        <w:t>”</w:t>
      </w:r>
      <w:r>
        <w:rPr>
          <w:rFonts w:ascii="Times New Roman;sans-serif" w:hAnsi="Times New Roman;sans-serif"/>
          <w:b w:val="false"/>
          <w:color w:val="000000"/>
          <w:sz w:val="24"/>
        </w:rPr>
        <w:t xml:space="preserve">). This Policy is intended to further the Company’s pay-for-performance philosophy and to comply with applicable law by providing for the reasonably prompt recovery of certain incentive compensation received by Executive Officers in the event of an Accounting Restatement.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The capitalized terms used in this Policy are defined below.</w:t>
      </w:r>
      <w:r>
        <w:rPr>
          <w:color w:val="000000"/>
        </w:rPr>
        <w:t xml:space="preserve"> </w:t>
      </w:r>
      <w:r>
        <w:rPr>
          <w:rFonts w:ascii="Times New Roman;sans-serif" w:hAnsi="Times New Roman;sans-serif"/>
          <w:b w:val="false"/>
          <w:color w:val="000000"/>
          <w:sz w:val="24"/>
        </w:rPr>
        <w:t>The application of this Policy to Executive Officers is not discretionary, except to the limited extent provided below, and applies without regard to whether an Executive Officer was at fault.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Policy is intended to comply with, and will be interpreted in a manner consistent with, Section 10D of the Securities Exchange Act of 1934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with Exchange Act Rule 10D-1 and with the listing standards of the national securities exchange (the “</w:t>
      </w:r>
      <w:r>
        <w:rPr>
          <w:rFonts w:ascii="Times New Roman;sans-serif" w:hAnsi="Times New Roman;sans-serif"/>
          <w:b/>
          <w:i/>
          <w:color w:val="000000"/>
          <w:sz w:val="24"/>
        </w:rPr>
        <w:t>Exchange</w:t>
      </w:r>
      <w:r>
        <w:rPr>
          <w:color w:val="000000"/>
        </w:rPr>
        <w:t>”</w:t>
      </w:r>
      <w:r>
        <w:rPr>
          <w:rFonts w:ascii="Times New Roman;sans-serif" w:hAnsi="Times New Roman;sans-serif"/>
          <w:b w:val="false"/>
          <w:color w:val="000000"/>
          <w:sz w:val="24"/>
        </w:rPr>
        <w:t xml:space="preserve">) on which the securities of the Company are listed, including any interpretive guidance provided by the Exchange. </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Persons Covered by this Policy</w:t>
      </w:r>
    </w:p>
    <w:p>
      <w:pPr>
        <w:pStyle w:val="TextBody"/>
        <w:bidi w:val="0"/>
        <w:spacing w:lineRule="auto" w:line="240" w:before="240" w:after="283"/>
        <w:ind w:left="0" w:right="0" w:firstLine="720"/>
        <w:jc w:val="both"/>
        <w:rPr/>
      </w:pPr>
      <w:r>
        <w:rPr>
          <w:rFonts w:ascii="Times New Roman;sans-serif" w:hAnsi="Times New Roman;sans-serif"/>
          <w:b w:val="false"/>
          <w:color w:val="262626"/>
          <w:sz w:val="24"/>
          <w:shd w:fill="FFFFFF" w:val="clear"/>
        </w:rPr>
        <w:t>This Policy is binding and enforceable against all Executive Officers. “</w:t>
      </w:r>
      <w:r>
        <w:rPr>
          <w:rFonts w:ascii="Times New Roman;sans-serif" w:hAnsi="Times New Roman;sans-serif"/>
          <w:b/>
          <w:i/>
          <w:color w:val="262626"/>
          <w:sz w:val="24"/>
          <w:shd w:fill="FFFFFF" w:val="clear"/>
        </w:rPr>
        <w:t>Executive Officer</w:t>
      </w:r>
      <w:r>
        <w:rPr>
          <w:color w:val="262626"/>
          <w:shd w:fill="FFFFFF" w:val="clear"/>
        </w:rPr>
        <w:t xml:space="preserve">” </w:t>
      </w:r>
      <w:r>
        <w:rPr>
          <w:rFonts w:ascii="Times New Roman;sans-serif" w:hAnsi="Times New Roman;sans-serif"/>
          <w:b w:val="false"/>
          <w:color w:val="262626"/>
          <w:sz w:val="24"/>
          <w:shd w:fill="FFFFFF" w:val="clear"/>
        </w:rPr>
        <w:t>means each individual who is or was ever designated as an “officer” by the Board in accordance with Rule 16a-1(f) under the Exchange Act. Each Executive Officer will be required to sign and return to the Company an acknowledgement that such Executive Officer will be bound by the terms and comply with this Policy. The failure to obtain such acknowledgement will have no impact on the applicability or enforceability of this Policy.</w:t>
      </w:r>
      <w:r>
        <w:rPr>
          <w:color w:val="000000"/>
          <w:shd w:fill="FFFFFF" w:val="clear"/>
        </w:rPr>
        <w:t xml:space="preserve"> </w:t>
      </w:r>
    </w:p>
    <w:p>
      <w:pPr>
        <w:pStyle w:val="TextBody"/>
        <w:bidi w:val="0"/>
        <w:spacing w:lineRule="auto" w:line="240" w:before="240" w:after="283"/>
        <w:ind w:left="0" w:right="0" w:firstLine="72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Administration of this Policy</w:t>
      </w:r>
    </w:p>
    <w:p>
      <w:pPr>
        <w:pStyle w:val="TextBody"/>
        <w:bidi w:val="0"/>
        <w:spacing w:lineRule="auto" w:line="240" w:before="240" w:after="283"/>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Committee has full delegated authority to administer this Policy. The Committee is authorized to interpret and construe this Policy and to make all determinations necessary, appropriate, or advisable for the administration of this Policy. In addition, if determined in the discretion of the Board, this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Accounting Restatements Requiring Application of this Policy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i/>
          <w:color w:val="000000"/>
          <w:sz w:val="24"/>
        </w:rPr>
        <w:t>Accounting Restatement</w:t>
      </w:r>
      <w:r>
        <w:rPr>
          <w:color w:val="000000"/>
        </w:rPr>
        <w:t>”</w:t>
      </w:r>
      <w:r>
        <w:rPr>
          <w:rFonts w:ascii="Times New Roman;sans-serif" w:hAnsi="Times New Roman;sans-serif"/>
          <w:b w:val="false"/>
          <w:color w:val="000000"/>
          <w:sz w:val="24"/>
        </w:rPr>
        <w:t xml:space="preserve">), then the Committee must determine the Excess Compensation, if any, that must be recovered. The Company’s obligation </w:t>
      </w:r>
    </w:p>
    <w:p>
      <w:pPr>
        <w:pStyle w:val="TextBody"/>
        <w:bidi w:val="0"/>
        <w:spacing w:lineRule="auto" w:line="240" w:before="240"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7660"/>
                <wp:effectExtent l="0" t="0" r="0" b="0"/>
                <wp:wrapNone/>
                <wp:docPr id="147" name="Frame14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recover Excess Compensation is not dependent on if or when the restated financial statements are filed.</w:t>
      </w:r>
    </w:p>
    <w:p>
      <w:pPr>
        <w:pStyle w:val="TextBody"/>
        <w:bidi w:val="0"/>
        <w:spacing w:lineRule="auto" w:line="240" w:before="240" w:after="283"/>
        <w:ind w:left="0" w:right="0" w:firstLine="72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Compensation Covered by this Policy</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Policy applies to certain Incentive-Based Compensation that is Received on or after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during the Covered Period while the Company has a class of securities listed on a national securities exchange. The Incentive-Based Compensation is considered “</w:t>
      </w:r>
      <w:r>
        <w:rPr>
          <w:rFonts w:ascii="Times New Roman;sans-serif" w:hAnsi="Times New Roman;sans-serif"/>
          <w:b/>
          <w:i/>
          <w:color w:val="000000"/>
          <w:sz w:val="24"/>
        </w:rPr>
        <w:t>Clawback Eligible Incentive-Based Compensation</w:t>
      </w:r>
      <w:r>
        <w:rPr>
          <w:color w:val="000000"/>
        </w:rPr>
        <w:t xml:space="preserve">” </w:t>
      </w:r>
      <w:r>
        <w:rPr>
          <w:rFonts w:ascii="Times New Roman;sans-serif" w:hAnsi="Times New Roman;sans-serif"/>
          <w:b w:val="false"/>
          <w:color w:val="000000"/>
          <w:sz w:val="24"/>
        </w:rPr>
        <w:t>if the Incentive-Based Compensation is Received by a person after such person became an Executive Officer and the person served as an Executive Officer at any time during the performance period to which the Incentive-Based Compensation applies. The “</w:t>
      </w:r>
      <w:r>
        <w:rPr>
          <w:rFonts w:ascii="Times New Roman;sans-serif" w:hAnsi="Times New Roman;sans-serif"/>
          <w:b/>
          <w:i/>
          <w:color w:val="000000"/>
          <w:sz w:val="24"/>
        </w:rPr>
        <w:t>Excess Compensation</w:t>
      </w:r>
      <w:r>
        <w:rPr>
          <w:color w:val="000000"/>
        </w:rPr>
        <w:t xml:space="preserve">” </w:t>
      </w:r>
      <w:r>
        <w:rPr>
          <w:rFonts w:ascii="Times New Roman;sans-serif" w:hAnsi="Times New Roman;sans-serif"/>
          <w:b w:val="false"/>
          <w:color w:val="000000"/>
          <w:sz w:val="24"/>
        </w:rPr>
        <w:t>that is subject to recovery under this Policy is the amount of Clawback Eligible Incentive-Based Compensation that exceeds the amount of Clawback Eligible Incentive-Based Compensation that otherwise would have been Received had such Clawback Eligible Incentive-Based Compensation been determined based on the restated amounts (this is referred to in the listing standards as “erroneously awarded incentive-based compensation”). Any Clawback Eligible Incentive-Based Compensation will be determined on a gross (pre-tax) basis and the Excess Compensation subject to recovery under this Policy will be the gross (pre-tax) amount of the compensation Received by an Executive Officer.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the documentation to the Exchange.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 For the avoidance of doubt, no compensation that is potentially subject to recovery under this Policy will be earned until the Company’s right to recover under this Policy has lapsed. The following items of compensation are not Incentive-Based Compensation under this Policy: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shd w:fill="FFFFFF" w:val="clear"/>
        </w:rPr>
        <w:t>Incentive-Based Compensation is “</w:t>
      </w:r>
      <w:r>
        <w:rPr>
          <w:rFonts w:ascii="Times New Roman;sans-serif" w:hAnsi="Times New Roman;sans-serif"/>
          <w:b/>
          <w:i/>
          <w:color w:val="000000"/>
          <w:sz w:val="24"/>
          <w:shd w:fill="FFFFFF" w:val="clear"/>
        </w:rPr>
        <w:t>Received</w:t>
      </w:r>
      <w:r>
        <w:rPr>
          <w:color w:val="000000"/>
          <w:shd w:fill="FFFFFF" w:val="clear"/>
        </w:rPr>
        <w:t xml:space="preserve">” </w:t>
      </w:r>
      <w:r>
        <w:rPr>
          <w:rFonts w:ascii="Times New Roman;sans-serif" w:hAnsi="Times New Roman;sans-serif"/>
          <w:b w:val="false"/>
          <w:color w:val="000000"/>
          <w:sz w:val="24"/>
          <w:shd w:fill="FFFFFF" w:val="clear"/>
        </w:rPr>
        <w:t xml:space="preserve">under this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w:t>
      </w:r>
    </w:p>
    <w:p>
      <w:pPr>
        <w:pStyle w:val="TextBody"/>
        <w:bidi w:val="0"/>
        <w:spacing w:lineRule="auto" w:line="240" w:before="240"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this Policy does not apply to Incentive-Based Compensation for which the Financial Reporting Measure is attained prior to the Effective Date.</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Covered Period</w:t>
      </w:r>
      <w:r>
        <w:rPr>
          <w:color w:val="000000"/>
        </w:rPr>
        <w:t xml:space="preserve">” </w:t>
      </w:r>
      <w:r>
        <w:rPr>
          <w:rFonts w:ascii="Times New Roman;sans-serif" w:hAnsi="Times New Roman;sans-serif"/>
          <w:b w:val="false"/>
          <w:color w:val="000000"/>
          <w:sz w:val="24"/>
        </w:rPr>
        <w:t xml:space="preserve">means the three completed fiscal years immediately preceding the Accounting Restatement Determination Date. In addition, Covered Period can include certain transition periods resulting from a change in the Company’s fiscal year. </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4"/>
        </w:rPr>
        <w:t>Accounting Restatement Determination Date</w:t>
      </w:r>
      <w:r>
        <w:rPr>
          <w:color w:val="000000"/>
        </w:rPr>
        <w:t xml:space="preserve">” </w:t>
      </w:r>
      <w:r>
        <w:rPr>
          <w:rFonts w:ascii="Times New Roman;sans-serif" w:hAnsi="Times New Roman;sans-serif"/>
          <w:b w:val="false"/>
          <w:color w:val="000000"/>
          <w:sz w:val="24"/>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Repayment of Excess Compensation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must recover Excess Compensation reasonably promptly and Executive Officers are required to repay Excess Compensation to the Company. Subject to applicable law, the Company may recover Excess Compensation by requiring the Executive Officer to repay such amount to the Company by direct payment to the Company or such other means or combination of means as the Committee determines to be appropriate (these determinations do not need to be identical as to each Executive Officer). These means may include: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requiring reimbursement of cash Incentive-Based Compensation previously paid;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seeking recovery of any gain realized on the vesting, exercise, settlement, sale, transfer, or other disposition of any equity-based awards; </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offsetting the amount to be recovered from any unpaid or future compensation to be paid by the Company or any affiliate of the Company to the Executive Officer; </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cancelling outstanding vested or unvested equity awards; and/or </w:t>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taking any other remedial and recovery action permitted by law, as determined by the Committee.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repayment of Excess Compensation must be made by an Executive Officer notwithstanding any Executive Officer’s belief (whether or not the belief is legitimate) that the Excess Compensation had been previously earned under applicable law and therefore is not subject to clawback.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its rights to recovery under this Policy, the Company or any affiliate of the Company may take any legal actions it determines appropriate to enforce an Executive Officer’s obligations to the Company or to discipline an Executive Officer, including (without limitation) termination of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Limited Exceptions to this Policy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must recover the Excess Compensation in accordance with this Policy except to the limited extent that the conditions set forth below are met, and the Committee determines that recovery of the Excess Compensation would be impracticable:</w:t>
      </w:r>
    </w:p>
    <w:p>
      <w:pPr>
        <w:pStyle w:val="TextBody"/>
        <w:bidi w:val="0"/>
        <w:spacing w:lineRule="auto" w:line="240" w:before="240"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direct expense paid to a third party to assist in enforcing this Policy would exceed the amount to be recovered. Before reaching this conclusion, the Company must make a reasonable attempt to recover such Excess Compensation, document such reasonable attempt(s) to recover, and provide that documentation to the Exchange;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Excess Compensation need not be recovered if recovery would violate home country law where that law was adopted prior to November 28, 2022. Before concluding that it would be impracticable to recover any amount of Excess Compensation based on violation of home country law, the Company shall obtain an opinion of home country counsel, acceptable to the Exchange, that recovery would result in such a violation and shall provide such opinion to the Exchange;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Recovery would likely cause an otherwise tax-qualified retirement plan, under which benefits are broadly available to employees of the Company, to fail to meet the legal requirements as such.</w:t>
      </w:r>
    </w:p>
    <w:p>
      <w:pPr>
        <w:pStyle w:val="TextBody"/>
        <w:bidi w:val="0"/>
        <w:spacing w:lineRule="auto" w:line="240"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Other Important Information in this Policy</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 With the exception of any compensation that is Received prior to the Effective Date, which compensation will remain subject to the Prior Policy, this Policy supersedes in full all of the clawback or other compensation recovery policies of the Company that were in effect prior to the Effective Date to the extent those policies were applicable to Executive Officers and the operative portions of those policies will have no further force or effect on or after the Effective Date.</w:t>
      </w:r>
    </w:p>
    <w:p>
      <w:pPr>
        <w:pStyle w:val="TextBody"/>
        <w:bidi w:val="0"/>
        <w:spacing w:lineRule="auto" w:line="240" w:before="240" w:after="283"/>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Executive Officer against any loss of Excess Compensation. Neither the Company nor any affiliate of the Company will pay for or reimburse insurance premiums for an insurance policy that covers potential recovery obligations. In the event that pursuant to this Policy the Company is required to recover Excess Compensation from an Executive Officer who is no longer an employee, the Company will be entitled to seek such recovery in order to comply with applicable law, regardless of the terms of any release of claims or separation agreement such individual may have signed.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or Board may review and modify this Policy from time to time.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of this Policy or the application of any such provision to any Executive Officer is adjudicated to be invalid, illegal, or unenforceable in any respect, such invalidity, illegality, or unenforceability will not affect any other provisions of this Policy or the application of such provision to another Executive Officer, and the invalid, illegal or unenforceable provisions will be deemed amended to the minimum extent necessary to render any such provision or application enforceable.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terminate and no longer be enforceable when the Company ceases to be a listed issuer within the meaning of Section 10D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10.18</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ACKNOWLEDGEMENT</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acknowledge that I have received and read the Amended and Restated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of Udemy,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understand that my failure to comply in all respects with the Policy is a basis for termination of my employment with the Company and any affiliate of the Company as well as any other appropriate discipline.</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understand that neither the Policy, nor the application of the Policy to me, gives rise to a resignation for good reason (or similar concept) by me under any applicable employment agreement or arrangement.</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acknowledge that if I have questions concerning the meaning or application of the Policy, it is my responsibility to seek guidance from the Legal Department or my own personal advisers.</w:t>
      </w:r>
    </w:p>
    <w:p>
      <w:pPr>
        <w:pStyle w:val="TextBody"/>
        <w:bidi w:val="0"/>
        <w:spacing w:lineRule="auto" w:line="240" w:before="240" w:after="283"/>
        <w:ind w:left="0" w:right="0" w:hanging="720"/>
        <w:jc w:val="both"/>
        <w:rPr/>
      </w:pPr>
      <w:r>
        <w:rPr>
          <w:color w:val="000000"/>
        </w:rPr>
        <w:t>•</w:t>
      </w:r>
      <w:r>
        <w:rPr>
          <w:rFonts w:ascii="Times New Roman;sans-serif" w:hAnsi="Times New Roman;sans-serif"/>
          <w:b w:val="false"/>
          <w:color w:val="000000"/>
          <w:sz w:val="24"/>
        </w:rPr>
        <w:t>I acknowledge that neither this Acknowledgement nor the Policy is meant to constitute an employment contract.</w:t>
      </w:r>
    </w:p>
    <w:p>
      <w:pPr>
        <w:pStyle w:val="TextBody"/>
        <w:bidi w:val="0"/>
        <w:spacing w:lineRule="auto" w:line="240"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Please review, sign and return this form to the Legal Department.</w:t>
      </w:r>
    </w:p>
    <w:p>
      <w:pPr>
        <w:pStyle w:val="TextBody"/>
        <w:bidi w:val="0"/>
        <w:spacing w:lineRule="auto" w:line="240" w:before="360" w:after="283"/>
        <w:jc w:val="left"/>
        <w:rPr>
          <w:rFonts w:ascii="Times New Roman;sans-serif" w:hAnsi="Times New Roman;sans-serif"/>
          <w:b/>
          <w:color w:val="000000"/>
          <w:sz w:val="24"/>
        </w:rPr>
      </w:pPr>
      <w:r>
        <w:rPr>
          <w:rFonts w:ascii="Times New Roman;sans-serif" w:hAnsi="Times New Roman;sans-serif"/>
          <w:b/>
          <w:color w:val="000000"/>
          <w:sz w:val="24"/>
        </w:rPr>
        <w:t>Executive Officer</w:t>
      </w:r>
    </w:p>
    <w:p>
      <w:pPr>
        <w:pStyle w:val="TextBody"/>
        <w:bidi w:val="0"/>
        <w:spacing w:lineRule="auto" w:line="240" w:before="480" w:after="283"/>
        <w:jc w:val="left"/>
        <w:rPr>
          <w:color w:val="000000"/>
          <w:u w:val="single"/>
        </w:rPr>
      </w:pPr>
      <w:r>
        <w:rPr>
          <w:color w:val="000000"/>
          <w:u w:val="single"/>
        </w:rPr>
        <w:t>    </w:t>
      </w:r>
    </w:p>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print name</w:t>
      </w:r>
      <w:r>
        <w:rPr>
          <w:rFonts w:ascii="Times New Roman;sans-serif" w:hAnsi="Times New Roman;sans-serif"/>
          <w:b w:val="false"/>
          <w:color w:val="000000"/>
          <w:sz w:val="24"/>
        </w:rPr>
        <w:t>)</w:t>
      </w:r>
    </w:p>
    <w:p>
      <w:pPr>
        <w:pStyle w:val="TextBody"/>
        <w:bidi w:val="0"/>
        <w:spacing w:lineRule="auto" w:line="240" w:before="480" w:after="283"/>
        <w:jc w:val="left"/>
        <w:rPr>
          <w:color w:val="000000"/>
          <w:u w:val="single"/>
        </w:rPr>
      </w:pPr>
      <w:r>
        <w:rPr>
          <w:color w:val="000000"/>
          <w:u w:val="single"/>
        </w:rPr>
        <w:t>    </w:t>
      </w:r>
    </w:p>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w:t>
      </w:r>
      <w:r>
        <w:rPr>
          <w:rFonts w:ascii="Times New Roman;sans-serif" w:hAnsi="Times New Roman;sans-serif"/>
          <w:b w:val="false"/>
          <w:color w:val="000000"/>
          <w:sz w:val="24"/>
        </w:rPr>
        <w:t>)</w:t>
      </w:r>
    </w:p>
    <w:p>
      <w:pPr>
        <w:pStyle w:val="TextBody"/>
        <w:bidi w:val="0"/>
        <w:spacing w:lineRule="auto" w:line="240" w:before="480" w:after="283"/>
        <w:jc w:val="left"/>
        <w:rPr>
          <w:color w:val="000000"/>
          <w:u w:val="single"/>
        </w:rPr>
      </w:pPr>
      <w:r>
        <w:rPr>
          <w:color w:val="000000"/>
          <w:u w:val="single"/>
        </w:rPr>
        <w:t>    </w:t>
      </w:r>
    </w:p>
    <w:p>
      <w:pPr>
        <w:pStyle w:val="TextBody"/>
        <w:bidi w:val="0"/>
        <w:spacing w:lineRule="auto" w:line="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date</w:t>
      </w:r>
      <w:r>
        <w:rPr>
          <w:rFonts w:ascii="Times New Roman;sans-serif" w:hAnsi="Times New Roman;sans-serif"/>
          <w:b w:val="false"/>
          <w:color w:val="000000"/>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7660"/>
                <wp:effectExtent l="0" t="0" r="0" b="0"/>
                <wp:wrapNone/>
                <wp:docPr id="151" name="Frame15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firstLine="7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7939/000119312521317064/d245693dex31.htm" TargetMode="External"/><Relationship Id="rId4" Type="http://schemas.openxmlformats.org/officeDocument/2006/relationships/hyperlink" Target="https://www.sec.gov/Archives/edgar/data/1607939/000160793923000034/udemy-amendedandrestatedby.htm" TargetMode="External"/><Relationship Id="rId5" Type="http://schemas.openxmlformats.org/officeDocument/2006/relationships/hyperlink" Target="https://www.sec.gov/Archives/edgar/data/1607939/000119312521291460/d163445dex41.htm" TargetMode="External"/><Relationship Id="rId6" Type="http://schemas.openxmlformats.org/officeDocument/2006/relationships/hyperlink" Target="https://www.sec.gov/Archives/edgar/data/1607939/000119312521291460/d163445dex42.htm" TargetMode="External"/><Relationship Id="rId7" Type="http://schemas.openxmlformats.org/officeDocument/2006/relationships/hyperlink" Target="https://www.sec.gov/Archives/edgar/data/1607939/000160793923000034/udemy-10xk_exx432023.htm" TargetMode="External"/><Relationship Id="rId8" Type="http://schemas.openxmlformats.org/officeDocument/2006/relationships/hyperlink" Target="https://www.sec.gov/Archives/edgar/data/1607939/000119312521291460/d163445dex101.htm" TargetMode="External"/><Relationship Id="rId9" Type="http://schemas.openxmlformats.org/officeDocument/2006/relationships/hyperlink" Target="https://www.sec.gov/Archives/edgar/data/1607939/000119312521291460/d163445dex102.htm" TargetMode="External"/><Relationship Id="rId10" Type="http://schemas.openxmlformats.org/officeDocument/2006/relationships/hyperlink" Target="https://www.sec.gov/Archives/edgar/data/1607939/000160793923000081/udemyinc-2021equitycompens.htm" TargetMode="External"/><Relationship Id="rId11" Type="http://schemas.openxmlformats.org/officeDocument/2006/relationships/hyperlink" Target="https://www.sec.gov/Archives/edgar/data/1607939/000160793923000081/udemy-formofpsuagreementfo.htm" TargetMode="External"/><Relationship Id="rId12" Type="http://schemas.openxmlformats.org/officeDocument/2006/relationships/hyperlink" Target="https://www.sec.gov/Archives/edgar/data/1607939/000119312521306703/d163445dex104.htm" TargetMode="External"/><Relationship Id="rId13" Type="http://schemas.openxmlformats.org/officeDocument/2006/relationships/hyperlink" Target="https://www.sec.gov/Archives/edgar/data/1607939/000119312521291460/d163445dex105.htm" TargetMode="External"/><Relationship Id="rId14" Type="http://schemas.openxmlformats.org/officeDocument/2006/relationships/hyperlink" Target="https://www.sec.gov/Archives/edgar/data/1607939/000160793923000004/udemy-brownceopromotionlet.htm" TargetMode="External"/><Relationship Id="rId15" Type="http://schemas.openxmlformats.org/officeDocument/2006/relationships/hyperlink" Target="https://www.sec.gov/Archives/edgar/data/1607939/000119312521291460/d163445dex108.htm" TargetMode="External"/><Relationship Id="rId16" Type="http://schemas.openxmlformats.org/officeDocument/2006/relationships/hyperlink" Target="https://www.sec.gov/Archives/edgar/data/1607939/000119312521291460/d163445dex109.htm" TargetMode="External"/><Relationship Id="rId17" Type="http://schemas.openxmlformats.org/officeDocument/2006/relationships/hyperlink" Target="https://www.sec.gov/Archives/edgar/data/1607939/000160793923000186/udemy-offerletterxprasadra.htm" TargetMode="External"/><Relationship Id="rId18" Type="http://schemas.openxmlformats.org/officeDocument/2006/relationships/hyperlink" Target="https://www.sec.gov/Archives/edgar/data/1607939/000160793923000148/udemy-offerletterxgenefamu.htm" TargetMode="External"/><Relationship Id="rId19" Type="http://schemas.openxmlformats.org/officeDocument/2006/relationships/hyperlink" Target="https://www.sec.gov/Archives/edgar/data/1607939/000160793923000081/udemy-confirmatoryofferlet.htm" TargetMode="External"/><Relationship Id="rId20" Type="http://schemas.openxmlformats.org/officeDocument/2006/relationships/hyperlink" Target="https://www.sec.gov/Archives/edgar/data/1607939/000160793923000034/udemy-offerletterxkarenfas.htm" TargetMode="External"/><Relationship Id="rId21" Type="http://schemas.openxmlformats.org/officeDocument/2006/relationships/hyperlink" Target="https://www.sec.gov/Archives/edgar/data/1607939/000160793923000034/udemy-confirmatoryofferlet.htm" TargetMode="External"/><Relationship Id="rId22" Type="http://schemas.openxmlformats.org/officeDocument/2006/relationships/hyperlink" Target="https://www.sec.gov/Archives/edgar/data/1607939/000160793923000034/udemy-confirmatoryofferleta.htm" TargetMode="External"/><Relationship Id="rId23" Type="http://schemas.openxmlformats.org/officeDocument/2006/relationships/hyperlink" Target="https://www.sec.gov/Archives/edgar/data/1607939/000160793923000034/exhibit21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77694</Words>
  <Characters>436621</Characters>
  <CharactersWithSpaces>511739</CharactersWithSpaces>
  <Paragraphs>4643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