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7"/>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Insight Holdings Group, LLC</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Udemy,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UDMY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6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7"/>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7"/>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restart"/>
          </w:tcPr>
          <w:p>
            <w:pPr>
              <w:ind w:left="32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5"/>
                <w:szCs w:val="5"/>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4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gridSpan w:val="3"/>
            <w:vMerge w:val="continue"/>
          </w:tcPr>
          <w:p>
            <w:pPr>
              <w:spacing w:after="0"/>
              <w:rPr>
                <w:sz w:val="7"/>
                <w:szCs w:val="7"/>
                <w:color w:val="auto"/>
              </w:rPr>
            </w:pPr>
          </w:p>
        </w:tc>
        <w:tc>
          <w:tcPr>
            <w:tcW w:w="160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gridSpan w:val="3"/>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4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2"/>
                <w:szCs w:val="12"/>
                <w:color w:val="auto"/>
              </w:rPr>
            </w:pPr>
          </w:p>
        </w:tc>
        <w:tc>
          <w:tcPr>
            <w:tcW w:w="86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40" w:type="dxa"/>
            <w:vAlign w:val="bottom"/>
            <w:gridSpan w:val="10"/>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INSIGHT PARTNERS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0" w:type="dxa"/>
            <w:vAlign w:val="bottom"/>
            <w:gridSpan w:val="9"/>
          </w:tcPr>
          <w:p>
            <w:pPr>
              <w:ind w:left="160"/>
              <w:spacing w:after="0"/>
              <w:rPr>
                <w:sz w:val="20"/>
                <w:szCs w:val="20"/>
                <w:color w:val="auto"/>
              </w:rPr>
            </w:pPr>
            <w:r>
              <w:rPr>
                <w:rFonts w:ascii="Times New Roman" w:cs="Times New Roman" w:eastAsia="Times New Roman" w:hAnsi="Times New Roman"/>
                <w:sz w:val="17"/>
                <w:szCs w:val="17"/>
                <w:color w:val="0000FF"/>
              </w:rPr>
              <w:t>05/11/2026</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1114 AVENUE OF THE AMERICAS, 36TH</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FLOOR</w:t>
            </w: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gridSpan w:val="4"/>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020" w:type="dxa"/>
            <w:vAlign w:val="bottom"/>
            <w:tcBorders>
              <w:bottom w:val="single" w:sz="8" w:color="2C2C2C"/>
            </w:tcBorders>
            <w:gridSpan w:val="6"/>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11"/>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6"/>
                <w:szCs w:val="16"/>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3"/>
          </w:tcPr>
          <w:p>
            <w:pPr>
              <w:ind w:left="80"/>
              <w:spacing w:after="0" w:line="113" w:lineRule="exact"/>
              <w:rPr>
                <w:sz w:val="20"/>
                <w:szCs w:val="20"/>
                <w:color w:val="auto"/>
              </w:rPr>
            </w:pPr>
            <w:r>
              <w:rPr>
                <w:rFonts w:ascii="Arial" w:cs="Arial" w:eastAsia="Arial" w:hAnsi="Arial"/>
                <w:sz w:val="13"/>
                <w:szCs w:val="13"/>
                <w:color w:val="auto"/>
              </w:rPr>
              <w:t>Line)</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140" w:type="dxa"/>
            <w:vAlign w:val="bottom"/>
            <w:gridSpan w:val="8"/>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gridSpan w:val="2"/>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5"/>
          </w:tcPr>
          <w:p>
            <w:pPr>
              <w:ind w:left="3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7"/>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5"/>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2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60" w:type="dxa"/>
            <w:vAlign w:val="bottom"/>
            <w:gridSpan w:val="7"/>
            <w:vMerge w:val="restart"/>
          </w:tcPr>
          <w:p>
            <w:pPr>
              <w:ind w:left="760"/>
              <w:spacing w:after="0"/>
              <w:rPr>
                <w:sz w:val="20"/>
                <w:szCs w:val="20"/>
                <w:color w:val="auto"/>
              </w:rPr>
            </w:pPr>
            <w:r>
              <w:rPr>
                <w:rFonts w:ascii="Times New Roman" w:cs="Times New Roman" w:eastAsia="Times New Roman" w:hAnsi="Times New Roman"/>
                <w:sz w:val="17"/>
                <w:szCs w:val="17"/>
                <w:color w:val="0000FF"/>
              </w:rPr>
              <w:t>05/11/2026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98,286</w:t>
            </w: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gridSpan w:val="2"/>
            <w:vMerge w:val="restart"/>
          </w:tcPr>
          <w:p>
            <w:pPr>
              <w:jc w:val="right"/>
              <w:ind w:right="93"/>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6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0</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760" w:type="dxa"/>
            <w:vAlign w:val="bottom"/>
            <w:gridSpan w:val="7"/>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700" w:type="dxa"/>
            <w:vAlign w:val="bottom"/>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60" w:type="dxa"/>
            <w:vAlign w:val="bottom"/>
            <w:gridSpan w:val="18"/>
          </w:tcPr>
          <w:p>
            <w:pPr>
              <w:ind w:left="3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Insight Holdings Group, LLC</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INSIGHT PARTNERS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6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1114 AVENUE OF THE AMERICAS, 36TH FLOOR</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Insight Falcon Associates, Ltd.</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INSIGHT PARTNERS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6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1114 AVENUE OF THE AMERICAS, 36TH FLOOR</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281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728154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Insight Falcon Partners (A), L.P.</w:t>
        </w:r>
      </w:hyperlink>
    </w:p>
    <w:p>
      <w:pPr>
        <w:spacing w:after="0" w:line="309"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C/O INSIGHT PARTNERS</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1114 AVENUE OF THE AMERICAS, 36TH FLOOR</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Insight Venture Management, LLC</w:t>
        </w:r>
      </w:hyperlink>
    </w:p>
    <w:p>
      <w:pPr>
        <w:spacing w:after="0" w:line="309"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C/O INSIGHT PARTNERS</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1114 AVENUE OF THE AMERICAS, 36TH FLOOR</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Insight Partners Public Equities GP, LLC</w:t>
        </w:r>
      </w:hyperlink>
    </w:p>
    <w:p>
      <w:pPr>
        <w:spacing w:after="0" w:line="309"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C/O INSIGHT PARTNERS</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1114 AVENUE OF THE AMERICAS, 36TH FLOOR</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line="238" w:lineRule="auto"/>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Insight Partners Public Equities Master Fund,</w:t>
        </w:r>
      </w:hyperlink>
    </w:p>
    <w:p>
      <w:pPr>
        <w:ind w:left="8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L.P.</w:t>
        </w:r>
      </w:hyperlink>
    </w:p>
    <w:p>
      <w:pPr>
        <w:spacing w:after="0" w:line="309"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C/O INSIGHT PARTNERS</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1114 AVENUE OF THE AMERICAS, 36TH FLOOR</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Exhibit 99.1</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Exhibit 99.1</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Exhibit 99.1</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3"/>
          <w:szCs w:val="13"/>
          <w:color w:val="008000"/>
        </w:rPr>
        <w:t>This Form 4 is the second of two Forms 4 filed relating to the same event. The Form 4 has been split into two filings because there are more than 10 reporting persons in total, and the SEC's EDGAR filing system limits a single Form 4 to a maximum of 10 reporting persons. Each Form 4 is filed by Designated Filer, Insight Holdings Group, LLC.</w:t>
      </w:r>
    </w:p>
    <w:p>
      <w:pPr>
        <w:sectPr>
          <w:pgSz w:w="11900" w:h="16838" w:orient="portrait"/>
          <w:cols w:equalWidth="0" w:num="1">
            <w:col w:w="10580"/>
          </w:cols>
          <w:pgMar w:left="500" w:top="123" w:right="819" w:bottom="0" w:gutter="0" w:footer="0" w:header="0"/>
        </w:sectPr>
      </w:pP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Insight Holdings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7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Andrew Prodromos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23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Insight Falcon Partners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280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Insight Falcon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72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0172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Ltd.,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53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543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3543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Insight Falcon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57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Ltd.By: /s/ Andrew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521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8521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Prodromos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826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Insight Venture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42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Andrew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74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Prodromos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826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Insight Partners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020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Equities GP,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72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Andrew Prodromos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642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8642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600" w:space="140"/>
            <w:col w:w="1840"/>
          </w:cols>
          <w:pgMar w:left="500" w:top="123" w:right="819" w:bottom="0" w:gutter="0" w:footer="0" w:header="0"/>
          <w:type w:val="continuous"/>
        </w:sectPr>
      </w:pPr>
    </w:p>
    <w:bookmarkStart w:id="2" w:name="page3"/>
    <w:bookmarkEnd w:id="2"/>
    <w:tbl>
      <w:tblPr>
        <w:tblLayout w:type="fixed"/>
        <w:tblInd w:w="6540" w:type="dxa"/>
        <w:tblCellMar>
          <w:top w:w="0" w:type="dxa"/>
          <w:left w:w="0" w:type="dxa"/>
          <w:bottom w:w="0" w:type="dxa"/>
          <w:right w:w="0" w:type="dxa"/>
        </w:tblCellMar>
      </w:tblPr>
      <w:tr>
        <w:trPr>
          <w:trHeight w:val="195"/>
        </w:trPr>
        <w:tc>
          <w:tcPr>
            <w:tcW w:w="2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Insight Partners Public</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05/13/2026</w:t>
            </w:r>
          </w:p>
        </w:tc>
      </w:tr>
      <w:tr>
        <w:trPr>
          <w:trHeight w:val="20"/>
        </w:trPr>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193"/>
        </w:trPr>
        <w:tc>
          <w:tcPr>
            <w:tcW w:w="2160" w:type="dxa"/>
            <w:vAlign w:val="bottom"/>
            <w:tcBorders>
              <w:bottom w:val="single" w:sz="8" w:color="auto"/>
            </w:tcBorders>
            <w:gridSpan w:val="4"/>
          </w:tcPr>
          <w:p>
            <w:pPr>
              <w:spacing w:after="0" w:line="194" w:lineRule="exact"/>
              <w:rPr>
                <w:sz w:val="20"/>
                <w:szCs w:val="20"/>
                <w:color w:val="auto"/>
              </w:rPr>
            </w:pPr>
            <w:r>
              <w:rPr>
                <w:rFonts w:ascii="Times New Roman" w:cs="Times New Roman" w:eastAsia="Times New Roman" w:hAnsi="Times New Roman"/>
                <w:sz w:val="17"/>
                <w:szCs w:val="17"/>
                <w:color w:val="0000FF"/>
              </w:rPr>
              <w:t>Equities Master Fund, L.P. By:</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80" w:type="dxa"/>
            <w:vAlign w:val="bottom"/>
            <w:gridSpan w:val="5"/>
          </w:tcPr>
          <w:p>
            <w:pPr>
              <w:spacing w:after="0" w:line="194" w:lineRule="exact"/>
              <w:rPr>
                <w:sz w:val="20"/>
                <w:szCs w:val="20"/>
                <w:color w:val="auto"/>
              </w:rPr>
            </w:pPr>
            <w:r>
              <w:rPr>
                <w:rFonts w:ascii="Times New Roman" w:cs="Times New Roman" w:eastAsia="Times New Roman" w:hAnsi="Times New Roman"/>
                <w:sz w:val="17"/>
                <w:szCs w:val="17"/>
                <w:color w:val="0000FF"/>
              </w:rPr>
              <w:t>Insight Partners Public</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3"/>
        </w:trPr>
        <w:tc>
          <w:tcPr>
            <w:tcW w:w="204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7"/>
                <w:szCs w:val="17"/>
                <w:color w:val="0000FF"/>
              </w:rPr>
              <w:t>Equities GP, LLC, its general</w:t>
            </w:r>
          </w:p>
        </w:tc>
        <w:tc>
          <w:tcPr>
            <w:tcW w:w="1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5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w w:val="99"/>
              </w:rPr>
              <w:t>partner</w:t>
            </w:r>
          </w:p>
        </w:tc>
        <w:tc>
          <w:tcPr>
            <w:tcW w:w="168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5"/>
        </w:trPr>
        <w:tc>
          <w:tcPr>
            <w:tcW w:w="218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180"/>
          </w:cols>
          <w:pgMar w:left="500" w:top="117" w:right="12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3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EXPLANATION OF RESPONSES</w:t>
      </w:r>
    </w:p>
    <w:p>
      <w:pPr>
        <w:spacing w:after="0" w:line="328" w:lineRule="exact"/>
        <w:rPr>
          <w:sz w:val="20"/>
          <w:szCs w:val="20"/>
          <w:color w:val="auto"/>
        </w:rPr>
      </w:pPr>
    </w:p>
    <w:p>
      <w:pPr>
        <w:ind w:left="480" w:hanging="474"/>
        <w:spacing w:after="0" w:line="253"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Agreement and Plan of Merger, dated December 17, 2025 (the “Merger Agreement”), by and among Udemy, Inc., a Delaware corporation (“Issuer”), Coursera, Inc., a Delaware public benefit corporation (“Coursera”), and Chess Merger Sub, Inc., a Delaware corporation and a direct wholly owned subsidiary of Coursera (“Merger Sub”), effective as of May 11, 2026, Merger Sub merged with and into Issuer (the “Merger”), with Issuer surviving the Merger. Pursuant to the Merger Agreement, at the effective time of the Merger, each share of common stock, par value $0.00001 per share, of Issuer issued and outstanding, held by Insight Partners Public Equities Master Fund, L.P. was converted into the right to receive 0.800 share of common stock, par value $0.00001 per share, of Coursera.</w:t>
      </w:r>
    </w:p>
    <w:p>
      <w:pPr>
        <w:spacing w:after="0" w:line="183" w:lineRule="exact"/>
        <w:rPr>
          <w:rFonts w:ascii="Times New Roman" w:cs="Times New Roman" w:eastAsia="Times New Roman" w:hAnsi="Times New Roman"/>
          <w:sz w:val="18"/>
          <w:szCs w:val="18"/>
          <w:color w:val="auto"/>
        </w:rPr>
      </w:pPr>
    </w:p>
    <w:p>
      <w:pPr>
        <w:ind w:left="480" w:right="80" w:hanging="474"/>
        <w:spacing w:after="0" w:line="261"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exemption under Rule 16b-3 promulgated under the Securities Exchange Act of 1934, as amended, the Board of Directors of the Issuer approved the disposition of any direct or indirect pecuniary interest in any and all of the Shares by the Reporting Person as a result of or in connection with the transaction reported in this Form 4.</w:t>
      </w:r>
    </w:p>
    <w:p>
      <w:pPr>
        <w:spacing w:after="0" w:line="177"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directly by Insight Partners Public Equities Master Fund, L.P.</w:t>
      </w:r>
    </w:p>
    <w:p>
      <w:pPr>
        <w:sectPr>
          <w:pgSz w:w="11900" w:h="16838" w:orient="portrait"/>
          <w:cols w:equalWidth="0" w:num="1">
            <w:col w:w="10660"/>
          </w:cols>
          <w:pgMar w:left="780" w:top="399" w:right="4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0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w w:val="99"/>
              </w:rPr>
              <w:t>JOINT FILERS’ SIGNATURES</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86"/>
        </w:trPr>
        <w:tc>
          <w:tcPr>
            <w:tcW w:w="6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INSIGHT HOLDINGS GROUP, LLC</w:t>
            </w: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7"/>
              </w:rPr>
              <w:t>Date: 05/13/2026</w:t>
            </w:r>
          </w:p>
        </w:tc>
      </w:t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By:</w:t>
            </w:r>
          </w:p>
        </w:tc>
        <w:tc>
          <w:tcPr>
            <w:tcW w:w="1580" w:type="dxa"/>
            <w:vAlign w:val="bottom"/>
            <w:tcBorders>
              <w:bottom w:val="single" w:sz="8" w:color="auto"/>
            </w:tcBorders>
            <w:gridSpan w:val="2"/>
          </w:tcPr>
          <w:p>
            <w:pPr>
              <w:jc w:val="center"/>
              <w:ind w:right="20"/>
              <w:spacing w:after="0" w:line="194" w:lineRule="exact"/>
              <w:rPr>
                <w:sz w:val="20"/>
                <w:szCs w:val="20"/>
                <w:color w:val="auto"/>
              </w:rPr>
            </w:pPr>
            <w:r>
              <w:rPr>
                <w:rFonts w:ascii="Times New Roman" w:cs="Times New Roman" w:eastAsia="Times New Roman" w:hAnsi="Times New Roman"/>
                <w:sz w:val="18"/>
                <w:szCs w:val="18"/>
                <w:color w:val="auto"/>
                <w:w w:val="98"/>
              </w:rPr>
              <w:t>/s/Andrew Prodromos</w:t>
            </w:r>
          </w:p>
        </w:tc>
        <w:tc>
          <w:tcPr>
            <w:tcW w:w="4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1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8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Andrew Prodromos</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Attorney-in-Fact</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2"/>
        </w:trPr>
        <w:tc>
          <w:tcPr>
            <w:tcW w:w="6780" w:type="dxa"/>
            <w:vAlign w:val="bottom"/>
            <w:gridSpan w:val="4"/>
          </w:tcPr>
          <w:p>
            <w:pPr>
              <w:spacing w:after="0" w:line="192" w:lineRule="exact"/>
              <w:rPr>
                <w:sz w:val="20"/>
                <w:szCs w:val="20"/>
                <w:color w:val="auto"/>
              </w:rPr>
            </w:pPr>
            <w:r>
              <w:rPr>
                <w:rFonts w:ascii="Times New Roman" w:cs="Times New Roman" w:eastAsia="Times New Roman" w:hAnsi="Times New Roman"/>
                <w:sz w:val="18"/>
                <w:szCs w:val="18"/>
                <w:color w:val="auto"/>
              </w:rPr>
              <w:t>INSIGHT FALCON PARTNERS (A), L.P</w:t>
            </w:r>
          </w:p>
        </w:tc>
        <w:tc>
          <w:tcPr>
            <w:tcW w:w="1300" w:type="dxa"/>
            <w:vAlign w:val="bottom"/>
            <w:gridSpan w:val="3"/>
          </w:tcPr>
          <w:p>
            <w:pPr>
              <w:ind w:left="60"/>
              <w:spacing w:after="0" w:line="192" w:lineRule="exact"/>
              <w:rPr>
                <w:sz w:val="20"/>
                <w:szCs w:val="20"/>
                <w:color w:val="auto"/>
              </w:rPr>
            </w:pPr>
            <w:r>
              <w:rPr>
                <w:rFonts w:ascii="Times New Roman" w:cs="Times New Roman" w:eastAsia="Times New Roman" w:hAnsi="Times New Roman"/>
                <w:sz w:val="18"/>
                <w:szCs w:val="18"/>
                <w:color w:val="auto"/>
                <w:w w:val="97"/>
              </w:rPr>
              <w:t>Date: 05/13/2026</w:t>
            </w:r>
          </w:p>
        </w:tc>
      </w:tr>
      <w:tr>
        <w:trPr>
          <w:trHeight w:val="215"/>
        </w:trPr>
        <w:tc>
          <w:tcPr>
            <w:tcW w:w="6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Insight Falcon Associates, Ltd., its general partners</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192"/>
        </w:trPr>
        <w:tc>
          <w:tcPr>
            <w:tcW w:w="9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By:</w:t>
            </w:r>
          </w:p>
        </w:tc>
        <w:tc>
          <w:tcPr>
            <w:tcW w:w="5880" w:type="dxa"/>
            <w:vAlign w:val="bottom"/>
            <w:gridSpan w:val="3"/>
          </w:tcPr>
          <w:p>
            <w:pPr>
              <w:jc w:val="center"/>
              <w:ind w:right="4231"/>
              <w:spacing w:after="0" w:line="192" w:lineRule="exact"/>
              <w:rPr>
                <w:sz w:val="20"/>
                <w:szCs w:val="20"/>
                <w:color w:val="auto"/>
              </w:rPr>
            </w:pPr>
            <w:r>
              <w:rPr>
                <w:rFonts w:ascii="Times New Roman" w:cs="Times New Roman" w:eastAsia="Times New Roman" w:hAnsi="Times New Roman"/>
                <w:sz w:val="18"/>
                <w:szCs w:val="18"/>
                <w:color w:val="auto"/>
                <w:w w:val="98"/>
              </w:rPr>
              <w:t>/s/Andrew Prodromos</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8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Andrew Prodromos</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880" w:type="dxa"/>
            <w:vAlign w:val="bottom"/>
            <w:gridSpan w:val="3"/>
          </w:tcPr>
          <w:p>
            <w:pPr>
              <w:jc w:val="center"/>
              <w:ind w:right="4191"/>
              <w:spacing w:after="0"/>
              <w:rPr>
                <w:sz w:val="20"/>
                <w:szCs w:val="20"/>
                <w:color w:val="auto"/>
              </w:rPr>
            </w:pPr>
            <w:r>
              <w:rPr>
                <w:rFonts w:ascii="Times New Roman" w:cs="Times New Roman" w:eastAsia="Times New Roman" w:hAnsi="Times New Roman"/>
                <w:sz w:val="18"/>
                <w:szCs w:val="18"/>
                <w:color w:val="auto"/>
                <w:w w:val="98"/>
              </w:rPr>
              <w:t>Authorized Officer</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86"/>
        </w:trPr>
        <w:tc>
          <w:tcPr>
            <w:tcW w:w="6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INSIGHT FALCON ASSOCIATES, LTD.</w:t>
            </w: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7"/>
              </w:rPr>
              <w:t>Date: 05/13/2026</w:t>
            </w:r>
          </w:p>
        </w:tc>
      </w:t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By:</w:t>
            </w:r>
          </w:p>
        </w:tc>
        <w:tc>
          <w:tcPr>
            <w:tcW w:w="1580" w:type="dxa"/>
            <w:vAlign w:val="bottom"/>
            <w:tcBorders>
              <w:bottom w:val="single" w:sz="8" w:color="auto"/>
            </w:tcBorders>
            <w:gridSpan w:val="2"/>
          </w:tcPr>
          <w:p>
            <w:pPr>
              <w:jc w:val="center"/>
              <w:ind w:right="20"/>
              <w:spacing w:after="0" w:line="194" w:lineRule="exact"/>
              <w:rPr>
                <w:sz w:val="20"/>
                <w:szCs w:val="20"/>
                <w:color w:val="auto"/>
              </w:rPr>
            </w:pPr>
            <w:r>
              <w:rPr>
                <w:rFonts w:ascii="Times New Roman" w:cs="Times New Roman" w:eastAsia="Times New Roman" w:hAnsi="Times New Roman"/>
                <w:sz w:val="18"/>
                <w:szCs w:val="18"/>
                <w:color w:val="auto"/>
                <w:w w:val="98"/>
              </w:rPr>
              <w:t>/s/Andrew Prodromos</w:t>
            </w:r>
          </w:p>
        </w:tc>
        <w:tc>
          <w:tcPr>
            <w:tcW w:w="4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1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8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Andrew Prodromos</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880" w:type="dxa"/>
            <w:vAlign w:val="bottom"/>
            <w:gridSpan w:val="3"/>
          </w:tcPr>
          <w:p>
            <w:pPr>
              <w:jc w:val="center"/>
              <w:ind w:right="4191"/>
              <w:spacing w:after="0"/>
              <w:rPr>
                <w:sz w:val="20"/>
                <w:szCs w:val="20"/>
                <w:color w:val="auto"/>
              </w:rPr>
            </w:pPr>
            <w:r>
              <w:rPr>
                <w:rFonts w:ascii="Times New Roman" w:cs="Times New Roman" w:eastAsia="Times New Roman" w:hAnsi="Times New Roman"/>
                <w:sz w:val="18"/>
                <w:szCs w:val="18"/>
                <w:color w:val="auto"/>
                <w:w w:val="98"/>
              </w:rPr>
              <w:t>Authorized Officer</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2"/>
        </w:trPr>
        <w:tc>
          <w:tcPr>
            <w:tcW w:w="6780" w:type="dxa"/>
            <w:vAlign w:val="bottom"/>
            <w:gridSpan w:val="4"/>
          </w:tcPr>
          <w:p>
            <w:pPr>
              <w:spacing w:after="0" w:line="192" w:lineRule="exact"/>
              <w:rPr>
                <w:sz w:val="20"/>
                <w:szCs w:val="20"/>
                <w:color w:val="auto"/>
              </w:rPr>
            </w:pPr>
            <w:r>
              <w:rPr>
                <w:rFonts w:ascii="Times New Roman" w:cs="Times New Roman" w:eastAsia="Times New Roman" w:hAnsi="Times New Roman"/>
                <w:sz w:val="18"/>
                <w:szCs w:val="18"/>
                <w:color w:val="auto"/>
              </w:rPr>
              <w:t>INSIGHT VENTURE MANAGEMENT, LLC</w:t>
            </w:r>
          </w:p>
        </w:tc>
        <w:tc>
          <w:tcPr>
            <w:tcW w:w="1300" w:type="dxa"/>
            <w:vAlign w:val="bottom"/>
            <w:gridSpan w:val="3"/>
          </w:tcPr>
          <w:p>
            <w:pPr>
              <w:ind w:left="60"/>
              <w:spacing w:after="0" w:line="192" w:lineRule="exact"/>
              <w:rPr>
                <w:sz w:val="20"/>
                <w:szCs w:val="20"/>
                <w:color w:val="auto"/>
              </w:rPr>
            </w:pPr>
            <w:r>
              <w:rPr>
                <w:rFonts w:ascii="Times New Roman" w:cs="Times New Roman" w:eastAsia="Times New Roman" w:hAnsi="Times New Roman"/>
                <w:sz w:val="18"/>
                <w:szCs w:val="18"/>
                <w:color w:val="auto"/>
                <w:w w:val="97"/>
              </w:rPr>
              <w:t>Date: 05/13/2026</w:t>
            </w:r>
          </w:p>
        </w:tc>
      </w:t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By:</w:t>
            </w:r>
          </w:p>
        </w:tc>
        <w:tc>
          <w:tcPr>
            <w:tcW w:w="5880" w:type="dxa"/>
            <w:vAlign w:val="bottom"/>
            <w:gridSpan w:val="3"/>
          </w:tcPr>
          <w:p>
            <w:pPr>
              <w:jc w:val="center"/>
              <w:ind w:right="4231"/>
              <w:spacing w:after="0" w:line="194" w:lineRule="exact"/>
              <w:rPr>
                <w:sz w:val="20"/>
                <w:szCs w:val="20"/>
                <w:color w:val="auto"/>
              </w:rPr>
            </w:pPr>
            <w:r>
              <w:rPr>
                <w:rFonts w:ascii="Times New Roman" w:cs="Times New Roman" w:eastAsia="Times New Roman" w:hAnsi="Times New Roman"/>
                <w:sz w:val="18"/>
                <w:szCs w:val="18"/>
                <w:color w:val="auto"/>
                <w:w w:val="98"/>
              </w:rPr>
              <w:t>/s/Andrew Prodromos</w:t>
            </w:r>
          </w:p>
        </w:tc>
        <w:tc>
          <w:tcPr>
            <w:tcW w:w="4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8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Andrew Prodromos</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880" w:type="dxa"/>
            <w:vAlign w:val="bottom"/>
            <w:gridSpan w:val="3"/>
          </w:tcPr>
          <w:p>
            <w:pPr>
              <w:jc w:val="center"/>
              <w:ind w:right="4191"/>
              <w:spacing w:after="0"/>
              <w:rPr>
                <w:sz w:val="20"/>
                <w:szCs w:val="20"/>
                <w:color w:val="auto"/>
              </w:rPr>
            </w:pPr>
            <w:r>
              <w:rPr>
                <w:rFonts w:ascii="Times New Roman" w:cs="Times New Roman" w:eastAsia="Times New Roman" w:hAnsi="Times New Roman"/>
                <w:sz w:val="18"/>
                <w:szCs w:val="18"/>
                <w:color w:val="auto"/>
                <w:w w:val="98"/>
              </w:rPr>
              <w:t>Authorized Officer</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2"/>
        </w:trPr>
        <w:tc>
          <w:tcPr>
            <w:tcW w:w="6780" w:type="dxa"/>
            <w:vAlign w:val="bottom"/>
            <w:gridSpan w:val="4"/>
          </w:tcPr>
          <w:p>
            <w:pPr>
              <w:spacing w:after="0" w:line="192" w:lineRule="exact"/>
              <w:rPr>
                <w:sz w:val="20"/>
                <w:szCs w:val="20"/>
                <w:color w:val="auto"/>
              </w:rPr>
            </w:pPr>
            <w:r>
              <w:rPr>
                <w:rFonts w:ascii="Times New Roman" w:cs="Times New Roman" w:eastAsia="Times New Roman" w:hAnsi="Times New Roman"/>
                <w:sz w:val="18"/>
                <w:szCs w:val="18"/>
                <w:color w:val="auto"/>
              </w:rPr>
              <w:t>INSIGHT PARTNERS PUBLIC EQUITIES GP, LLC</w:t>
            </w:r>
          </w:p>
        </w:tc>
        <w:tc>
          <w:tcPr>
            <w:tcW w:w="1300" w:type="dxa"/>
            <w:vAlign w:val="bottom"/>
            <w:gridSpan w:val="3"/>
          </w:tcPr>
          <w:p>
            <w:pPr>
              <w:ind w:left="60"/>
              <w:spacing w:after="0" w:line="192" w:lineRule="exact"/>
              <w:rPr>
                <w:sz w:val="20"/>
                <w:szCs w:val="20"/>
                <w:color w:val="auto"/>
              </w:rPr>
            </w:pPr>
            <w:r>
              <w:rPr>
                <w:rFonts w:ascii="Times New Roman" w:cs="Times New Roman" w:eastAsia="Times New Roman" w:hAnsi="Times New Roman"/>
                <w:sz w:val="18"/>
                <w:szCs w:val="18"/>
                <w:color w:val="auto"/>
                <w:w w:val="97"/>
              </w:rPr>
              <w:t>Date: 05/13/2026</w:t>
            </w:r>
          </w:p>
        </w:tc>
      </w:t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By:</w:t>
            </w:r>
          </w:p>
        </w:tc>
        <w:tc>
          <w:tcPr>
            <w:tcW w:w="5880" w:type="dxa"/>
            <w:vAlign w:val="bottom"/>
            <w:gridSpan w:val="3"/>
          </w:tcPr>
          <w:p>
            <w:pPr>
              <w:jc w:val="center"/>
              <w:ind w:right="4231"/>
              <w:spacing w:after="0" w:line="194" w:lineRule="exact"/>
              <w:rPr>
                <w:sz w:val="20"/>
                <w:szCs w:val="20"/>
                <w:color w:val="auto"/>
              </w:rPr>
            </w:pPr>
            <w:r>
              <w:rPr>
                <w:rFonts w:ascii="Times New Roman" w:cs="Times New Roman" w:eastAsia="Times New Roman" w:hAnsi="Times New Roman"/>
                <w:sz w:val="18"/>
                <w:szCs w:val="18"/>
                <w:color w:val="auto"/>
                <w:w w:val="98"/>
              </w:rPr>
              <w:t>/s/Andrew Prodromos</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8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Andrew Prodromos</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880" w:type="dxa"/>
            <w:vAlign w:val="bottom"/>
            <w:gridSpan w:val="3"/>
          </w:tcPr>
          <w:p>
            <w:pPr>
              <w:jc w:val="center"/>
              <w:ind w:right="4191"/>
              <w:spacing w:after="0"/>
              <w:rPr>
                <w:sz w:val="20"/>
                <w:szCs w:val="20"/>
                <w:color w:val="auto"/>
              </w:rPr>
            </w:pPr>
            <w:r>
              <w:rPr>
                <w:rFonts w:ascii="Times New Roman" w:cs="Times New Roman" w:eastAsia="Times New Roman" w:hAnsi="Times New Roman"/>
                <w:sz w:val="18"/>
                <w:szCs w:val="18"/>
                <w:color w:val="auto"/>
                <w:w w:val="98"/>
              </w:rPr>
              <w:t>Authorized Officer</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86"/>
        </w:trPr>
        <w:tc>
          <w:tcPr>
            <w:tcW w:w="6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INSIGHT PARTNERS PUBLIC EQUITIES MASTER FUND, L.P.</w:t>
            </w: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7"/>
              </w:rPr>
              <w:t>Date: 05/13/2026</w:t>
            </w:r>
          </w:p>
        </w:tc>
      </w:tr>
      <w:tr>
        <w:trPr>
          <w:trHeight w:val="215"/>
        </w:trPr>
        <w:tc>
          <w:tcPr>
            <w:tcW w:w="6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Insight Partners Public Equities GP, LLC, its general partner</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192"/>
        </w:trPr>
        <w:tc>
          <w:tcPr>
            <w:tcW w:w="9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By:</w:t>
            </w:r>
          </w:p>
        </w:tc>
        <w:tc>
          <w:tcPr>
            <w:tcW w:w="1580" w:type="dxa"/>
            <w:vAlign w:val="bottom"/>
            <w:tcBorders>
              <w:bottom w:val="single" w:sz="8" w:color="auto"/>
            </w:tcBorders>
            <w:gridSpan w:val="2"/>
          </w:tcPr>
          <w:p>
            <w:pPr>
              <w:jc w:val="center"/>
              <w:ind w:right="20"/>
              <w:spacing w:after="0" w:line="192" w:lineRule="exact"/>
              <w:rPr>
                <w:sz w:val="20"/>
                <w:szCs w:val="20"/>
                <w:color w:val="auto"/>
              </w:rPr>
            </w:pPr>
            <w:r>
              <w:rPr>
                <w:rFonts w:ascii="Times New Roman" w:cs="Times New Roman" w:eastAsia="Times New Roman" w:hAnsi="Times New Roman"/>
                <w:sz w:val="18"/>
                <w:szCs w:val="18"/>
                <w:color w:val="auto"/>
                <w:w w:val="98"/>
              </w:rPr>
              <w:t>/s/Andrew Prodromos</w:t>
            </w:r>
          </w:p>
        </w:tc>
        <w:tc>
          <w:tcPr>
            <w:tcW w:w="4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8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Andrew Prodromos</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880" w:type="dxa"/>
            <w:vAlign w:val="bottom"/>
            <w:gridSpan w:val="3"/>
          </w:tcPr>
          <w:p>
            <w:pPr>
              <w:jc w:val="center"/>
              <w:ind w:right="4191"/>
              <w:spacing w:after="0"/>
              <w:rPr>
                <w:sz w:val="20"/>
                <w:szCs w:val="20"/>
                <w:color w:val="auto"/>
              </w:rPr>
            </w:pPr>
            <w:r>
              <w:rPr>
                <w:rFonts w:ascii="Times New Roman" w:cs="Times New Roman" w:eastAsia="Times New Roman" w:hAnsi="Times New Roman"/>
                <w:sz w:val="18"/>
                <w:szCs w:val="18"/>
                <w:color w:val="auto"/>
                <w:w w:val="98"/>
              </w:rPr>
              <w:t>Authorized Officer</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ectPr>
          <w:pgSz w:w="11900" w:h="16838" w:orient="portrait"/>
          <w:cols w:equalWidth="0" w:num="1">
            <w:col w:w="10980"/>
          </w:cols>
          <w:pgMar w:left="460" w:top="399" w:right="4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FILER INFORMATION</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0 shares of common stock are held of record by Insight Venture Partners VII, L.P. (“IVP VII”), 0 shares of common stock are held of record by Insight Venture Partners VII (Co-Investors), L.P. (“Co-Investors VII”), 0 shares of common stock are held of record by Insight Venture Partners (Cayman) VII, L.P. (“Cayman VII”) and 0 shares of common stock are held of record by Insight Venture Partners (Delaware) VII, L.P. (“Delaware VII” and, together with IVP VII, Co-Investors VII and Cayman VII, the “IVP VII Entities”).</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amount listed as owned by each IVP VII Entity may be deemed to be attributable to each of the other IVP VII Entities, Insight Venture Associates VII, L.P. (“IVA VII LP”), Insight Venture Associates VII, Ltd. (“IVA VII Ltd”) and Insight Holdings Group, LLC (“Holdings”), because Holdings is the sole shareholder of IVA VII Ltd, which in turn is the general partner of IVA VII LP, which in turn is the general partner of each of the IVP VII Entities.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0 shares of common stock are held of record by Grace Software Cross Fund Holdings, LLC (“Grace”). The amount listed as owned by Grace may be deemed to be attributable to each of Insight Associates XI, L.P. (“IA XI LP”), Insight Associates XI, Ltd. (“IA XI Ltd”) and Holdings, because Holdings is the sole shareholder of IA XI Ltd, which in turn is the general partner of IA XI LP, which in turn is the manager of Grace.</w:t>
      </w:r>
    </w:p>
    <w:p>
      <w:pPr>
        <w:spacing w:after="0" w:line="17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0 shares of common stock are held of record by Insight Partners Public Equities Master Fund, L.P. (“IPPE Master Fund” and, together with the IVP VII Entities and Grace, the “Funds”). The amount listed as owned by IPPE Master Fund may be deemed to be attributable to Insight Partners Public Equities GP, LLC (“IPPE GP”), Insight Venture Management, LLC (“IVM”), Insight Falcon Partners (A), L.P. (“Falcon LP”), Insight Falcon Associates, Ltd. (“Falcon Ltd”) and Holdings, because Holdings is the sole shareholder of Falcon Ltd, which in turn is the general partner of Falcon LP, which in turn is the sole member of IVM, which in turn is the sole member of IPPE GP, which in turn is the general partner of IPPE Master Fund.</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of Jeffrey Horing, Deven Parekh, Jeffrey Lieberman and Michael Triplett is a member of the board of managers of Holdings and may be deemed to have shared voting and dispositive power over the shares held of record by the Funds. The foregoing is not an admission by IVA VII LP, IVA VII Ltd, IA XI LP, IA XI Ltd, Falcon LP, Falcon Ltd, IVM, IPPE GP or Holdings that it is the beneficial owner of the shares held of record by the Funds. Each of Messrs. Horing, Parekh, Lieberman and Triplett disclaims beneficial ownership of the shares held by the Funds, except to the extent of his pecuniary interest therein.</w:t>
      </w:r>
    </w:p>
    <w:p>
      <w:pPr>
        <w:spacing w:after="0" w:line="174" w:lineRule="exact"/>
        <w:rPr>
          <w:sz w:val="20"/>
          <w:szCs w:val="20"/>
          <w:color w:val="auto"/>
        </w:rPr>
      </w:pPr>
    </w:p>
    <w:p>
      <w:pPr>
        <w:jc w:val="both"/>
        <w:ind w:right="20"/>
        <w:spacing w:after="0" w:line="202" w:lineRule="auto"/>
        <w:rPr>
          <w:sz w:val="20"/>
          <w:szCs w:val="20"/>
          <w:color w:val="auto"/>
        </w:rPr>
      </w:pPr>
      <w:r>
        <w:rPr>
          <w:rFonts w:ascii="Times New Roman" w:cs="Times New Roman" w:eastAsia="Times New Roman" w:hAnsi="Times New Roman"/>
          <w:sz w:val="18"/>
          <w:szCs w:val="18"/>
          <w:color w:val="auto"/>
        </w:rPr>
        <w:t>The address of each of the entities and persons identified in this Exhibit 99.3 is c/o Insight Partners, 1114 Avenue of the Americas, 36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10036.</w:t>
      </w:r>
    </w:p>
    <w:sectPr>
      <w:pgSz w:w="11900" w:h="16838" w:orient="portrait"/>
      <w:cols w:equalWidth="0" w:num="1">
        <w:col w:w="10980"/>
      </w:cols>
      <w:pgMar w:left="460" w:top="11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13" Type="http://schemas.openxmlformats.org/officeDocument/2006/relationships/hyperlink" Target="http://www.sec.gov/cgi-bin/browse-edgar?action=getcompany&amp;CIK=0001305473" TargetMode="External"/><Relationship Id="rId14" Type="http://schemas.openxmlformats.org/officeDocument/2006/relationships/hyperlink" Target="http://www.sec.gov/cgi-bin/browse-edgar?action=getcompany&amp;CIK=0001607939" TargetMode="External"/><Relationship Id="rId15" Type="http://schemas.openxmlformats.org/officeDocument/2006/relationships/hyperlink" Target="http://www.sec.gov/cgi-bin/browse-edgar?action=getcompany&amp;CIK=0002133811" TargetMode="External"/><Relationship Id="rId18" Type="http://schemas.openxmlformats.org/officeDocument/2006/relationships/hyperlink" Target="http://www.sec.gov/cgi-bin/browse-edgar?action=getcompany&amp;CIK=0002133817" TargetMode="External"/><Relationship Id="rId19" Type="http://schemas.openxmlformats.org/officeDocument/2006/relationships/hyperlink" Target="http://www.sec.gov/cgi-bin/browse-edgar?action=getcompany&amp;CIK=0001498545" TargetMode="External"/><Relationship Id="rId20" Type="http://schemas.openxmlformats.org/officeDocument/2006/relationships/hyperlink" Target="http://www.sec.gov/cgi-bin/browse-edgar?action=getcompany&amp;CIK=0001889867" TargetMode="External"/><Relationship Id="rId21" Type="http://schemas.openxmlformats.org/officeDocument/2006/relationships/hyperlink" Target="http://www.sec.gov/cgi-bin/browse-edgar?action=getcompany&amp;CIK=00018898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2026-05-13T20:48:51Z</dcterms:created>
  <dcterms:modified xsi:type="dcterms:W3CDTF">2026-05-13T20:48:51Z</dcterms:modified>
</cp:coreProperties>
</file>