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Insight Holdings Group, LLC</w:t>
              </w:r>
            </w:hyperlink>
          </w:p>
        </w:tc>
        <w:tc>
          <w:tcPr>
            <w:tcW w:w="80" w:type="dxa"/>
            <w:vAlign w:val="bottom"/>
          </w:tcPr>
          <w:p>
            <w:pPr>
              <w:spacing w:after="0"/>
              <w:rPr>
                <w:sz w:val="9"/>
                <w:szCs w:val="9"/>
                <w:color w:val="auto"/>
              </w:rPr>
            </w:pPr>
          </w:p>
        </w:tc>
        <w:tc>
          <w:tcPr>
            <w:tcW w:w="204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Udemy,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UDMY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2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gridSpan w:val="3"/>
            <w:vMerge w:val="continue"/>
          </w:tcPr>
          <w:p>
            <w:pPr>
              <w:spacing w:after="0"/>
              <w:rPr>
                <w:sz w:val="7"/>
                <w:szCs w:val="7"/>
                <w:color w:val="auto"/>
              </w:rPr>
            </w:pPr>
          </w:p>
        </w:tc>
        <w:tc>
          <w:tcPr>
            <w:tcW w:w="160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2"/>
                <w:szCs w:val="12"/>
                <w:color w:val="auto"/>
              </w:rPr>
            </w:pPr>
          </w:p>
        </w:tc>
        <w:tc>
          <w:tcPr>
            <w:tcW w:w="296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2"/>
                <w:szCs w:val="12"/>
                <w:color w:val="auto"/>
              </w:rPr>
            </w:pPr>
          </w:p>
        </w:tc>
        <w:tc>
          <w:tcPr>
            <w:tcW w:w="86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420" w:type="dxa"/>
            <w:vAlign w:val="bottom"/>
            <w:gridSpan w:val="4"/>
            <w:vMerge w:val="continue"/>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10"/>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2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05/11/2026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1114 AVENUE OF THE AMERICAS, 36TH</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FLOOR</w:t>
            </w: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gridSpan w:val="5"/>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gridSpan w:val="6"/>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1"/>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6"/>
                <w:szCs w:val="16"/>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3"/>
          </w:tcPr>
          <w:p>
            <w:pPr>
              <w:ind w:left="80"/>
              <w:spacing w:after="0" w:line="113" w:lineRule="exact"/>
              <w:rPr>
                <w:sz w:val="20"/>
                <w:szCs w:val="20"/>
                <w:color w:val="auto"/>
              </w:rPr>
            </w:pPr>
            <w:r>
              <w:rPr>
                <w:rFonts w:ascii="Arial" w:cs="Arial" w:eastAsia="Arial" w:hAnsi="Arial"/>
                <w:sz w:val="13"/>
                <w:szCs w:val="13"/>
                <w:color w:val="auto"/>
              </w:rPr>
              <w:t>Line)</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NEW YORK    NY</w:t>
            </w: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gridSpan w:val="2"/>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5"/>
                <w:szCs w:val="15"/>
                <w:color w:val="auto"/>
              </w:rPr>
            </w:pPr>
          </w:p>
        </w:tc>
        <w:tc>
          <w:tcPr>
            <w:tcW w:w="1180" w:type="dxa"/>
            <w:vAlign w:val="bottom"/>
            <w:gridSpan w:val="3"/>
          </w:tcPr>
          <w:p>
            <w:pPr>
              <w:ind w:left="3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7"/>
          </w:tcPr>
          <w:p>
            <w:pPr>
              <w:ind w:left="2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40" w:type="dxa"/>
            <w:vAlign w:val="bottom"/>
            <w:gridSpan w:val="8"/>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20" w:type="dxa"/>
            <w:vAlign w:val="bottom"/>
          </w:tcPr>
          <w:p>
            <w:pPr>
              <w:spacing w:after="0"/>
              <w:rPr>
                <w:sz w:val="11"/>
                <w:szCs w:val="11"/>
                <w:color w:val="auto"/>
              </w:rPr>
            </w:pP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86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Pr>
          <w:p>
            <w:pPr>
              <w:spacing w:after="0"/>
              <w:rPr>
                <w:sz w:val="21"/>
                <w:szCs w:val="21"/>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24,203,192</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68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560,198</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10,654,754</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1,530,921</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20" w:type="dxa"/>
            <w:vAlign w:val="bottom"/>
            <w:tcBorders>
              <w:top w:val="single" w:sz="8" w:color="2C2C2C"/>
            </w:tcBorders>
          </w:tcPr>
          <w:p>
            <w:pPr>
              <w:spacing w:after="0"/>
              <w:rPr>
                <w:sz w:val="21"/>
                <w:szCs w:val="21"/>
                <w:color w:val="auto"/>
              </w:rPr>
            </w:pPr>
          </w:p>
        </w:tc>
        <w:tc>
          <w:tcPr>
            <w:tcW w:w="1500" w:type="dxa"/>
            <w:vAlign w:val="bottom"/>
            <w:tcBorders>
              <w:top w:val="single" w:sz="8" w:color="2C2C2C"/>
            </w:tcBorders>
            <w:gridSpan w:val="5"/>
            <w:vMerge w:val="restart"/>
          </w:tcPr>
          <w:p>
            <w:pPr>
              <w:jc w:val="right"/>
              <w:spacing w:after="0"/>
              <w:rPr>
                <w:sz w:val="20"/>
                <w:szCs w:val="20"/>
                <w:color w:val="auto"/>
              </w:rPr>
            </w:pPr>
            <w:r>
              <w:rPr>
                <w:rFonts w:ascii="Times New Roman" w:cs="Times New Roman" w:eastAsia="Times New Roman" w:hAnsi="Times New Roman"/>
                <w:sz w:val="17"/>
                <w:szCs w:val="17"/>
                <w:color w:val="0000FF"/>
              </w:rPr>
              <w:t>05/11/2026</w:t>
            </w: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vMerge w:val="restart"/>
          </w:tcPr>
          <w:p>
            <w:pPr>
              <w:spacing w:after="0"/>
              <w:rPr>
                <w:sz w:val="20"/>
                <w:szCs w:val="20"/>
                <w:color w:val="auto"/>
              </w:rPr>
            </w:pPr>
            <w:r>
              <w:rPr>
                <w:rFonts w:ascii="Times New Roman" w:cs="Times New Roman" w:eastAsia="Times New Roman" w:hAnsi="Times New Roman"/>
                <w:sz w:val="13"/>
                <w:szCs w:val="13"/>
                <w:color w:val="0000FF"/>
              </w:rPr>
              <w:t>D</w:t>
            </w:r>
          </w:p>
        </w:tc>
        <w:tc>
          <w:tcPr>
            <w:tcW w:w="9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984,909</w:t>
            </w:r>
          </w:p>
        </w:tc>
        <w:tc>
          <w:tcPr>
            <w:tcW w:w="44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top w:val="single" w:sz="8" w:color="2C2C2C"/>
            </w:tcBorders>
            <w:gridSpan w:val="2"/>
            <w:vMerge w:val="restart"/>
          </w:tcPr>
          <w:p>
            <w:pPr>
              <w:jc w:val="right"/>
              <w:ind w:right="73"/>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vMerge w:val="restart"/>
          </w:tcPr>
          <w:p>
            <w:pPr>
              <w:ind w:left="540"/>
              <w:spacing w:after="0"/>
              <w:rPr>
                <w:sz w:val="20"/>
                <w:szCs w:val="20"/>
                <w:color w:val="auto"/>
              </w:rPr>
            </w:pPr>
            <w:r>
              <w:rPr>
                <w:rFonts w:ascii="Times New Roman" w:cs="Times New Roman" w:eastAsia="Times New Roman" w:hAnsi="Times New Roman"/>
                <w:sz w:val="17"/>
                <w:szCs w:val="17"/>
                <w:color w:val="0000FF"/>
              </w:rPr>
              <w:t>0</w:t>
            </w:r>
          </w:p>
        </w:tc>
        <w:tc>
          <w:tcPr>
            <w:tcW w:w="52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1500" w:type="dxa"/>
            <w:vAlign w:val="bottom"/>
            <w:gridSpan w:val="5"/>
            <w:vMerge w:val="continue"/>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72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80" w:type="dxa"/>
            <w:vAlign w:val="bottom"/>
            <w:gridSpan w:val="18"/>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9"/>
              </w:rPr>
              <w:t>Shares</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4"/>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Insight Holdings Group, LLC</w:t>
              </w:r>
            </w:hyperlink>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INSIGHT PARTNERS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8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1114 AVENUE OF THE AMERICAS, 36TH FLOOR</w:t>
            </w: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1180" w:type="dxa"/>
            <w:vAlign w:val="bottom"/>
            <w:gridSpan w:val="3"/>
          </w:tcPr>
          <w:p>
            <w:pPr>
              <w:ind w:left="2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Insight Venture Associates VII, Ltd.</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Insight Venture Associates VII,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Insight Venture Partners VII,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line="238" w:lineRule="auto"/>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Insight Venture Partners VII (Co-Investors),</w:t>
        </w:r>
      </w:hyperlink>
    </w:p>
    <w:p>
      <w:pPr>
        <w:ind w:left="4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Insight Venture Partners (Cayman) VII,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4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Insight Venture Partners (Delaware) VII, L.P.</w:t>
        </w:r>
      </w:hyperlink>
    </w:p>
    <w:p>
      <w:pPr>
        <w:spacing w:after="0" w:line="30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p>
      <w:pPr>
        <w:spacing w:after="0"/>
        <w:rPr>
          <w:sz w:val="20"/>
          <w:szCs w:val="20"/>
          <w:color w:val="auto"/>
        </w:rPr>
      </w:pPr>
      <w:r>
        <w:rPr>
          <w:rFonts w:ascii="Arial" w:cs="Arial" w:eastAsia="Arial" w:hAnsi="Arial"/>
          <w:sz w:val="13"/>
          <w:szCs w:val="13"/>
          <w:color w:val="auto"/>
        </w:rPr>
        <w:t>(Street)</w:t>
      </w:r>
    </w:p>
    <w:p>
      <w:pPr>
        <w:spacing w:after="0" w:line="35" w:lineRule="exact"/>
        <w:rPr>
          <w:sz w:val="20"/>
          <w:szCs w:val="20"/>
          <w:color w:val="auto"/>
        </w:rPr>
      </w:pPr>
    </w:p>
    <w:p>
      <w:pPr>
        <w:ind w:left="40"/>
        <w:spacing w:after="0"/>
        <w:tabs>
          <w:tab w:leader="none" w:pos="1420" w:val="left"/>
          <w:tab w:leader="none" w:pos="282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10036</w:t>
      </w:r>
    </w:p>
    <w:p>
      <w:pPr>
        <w:sectPr>
          <w:pgSz w:w="11900" w:h="16838" w:orient="portrait"/>
          <w:cols w:equalWidth="0" w:num="1">
            <w:col w:w="9919"/>
          </w:cols>
          <w:pgMar w:left="540" w:top="300" w:right="1440" w:bottom="0" w:gutter="0" w:footer="0" w:header="0"/>
        </w:sectPr>
      </w:pPr>
    </w:p>
    <w:p>
      <w:pPr>
        <w:spacing w:after="0" w:line="339" w:lineRule="exact"/>
        <w:rPr>
          <w:sz w:val="20"/>
          <w:szCs w:val="20"/>
          <w:color w:val="auto"/>
        </w:rPr>
      </w:pPr>
    </w:p>
    <w:p>
      <w:pPr>
        <w:ind w:left="40"/>
        <w:spacing w:after="0"/>
        <w:tabs>
          <w:tab w:leader="none" w:pos="1420" w:val="left"/>
          <w:tab w:leader="none" w:pos="282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9919"/>
          </w:cols>
          <w:pgMar w:left="540" w:top="300" w:right="1440" w:bottom="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5335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809240" cy="5335270"/>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Insight Associates XI, Ltd.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Insight Associates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6">
        <w:r>
          <w:rPr>
            <w:rFonts w:ascii="Times New Roman" w:cs="Times New Roman" w:eastAsia="Times New Roman" w:hAnsi="Times New Roman"/>
            <w:sz w:val="21"/>
            <w:szCs w:val="21"/>
            <w:u w:val="single" w:color="auto"/>
            <w:color w:val="0000EE"/>
          </w:rPr>
          <w:t>Grace Software Cross Fund Holdings,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INSIGHT PARTNERS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1114 AVENUE OF THE AMERICAS, 36TH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See Exhibit 99.1</w:t>
      </w:r>
    </w:p>
    <w:p>
      <w:pPr>
        <w:spacing w:after="0" w:line="7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Holdings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jc w:val="right"/>
        <w:ind w:right="419"/>
        <w:spacing w:after="0"/>
        <w:tabs>
          <w:tab w:leader="none" w:pos="780" w:val="left"/>
        </w:tabs>
        <w:rPr>
          <w:sz w:val="20"/>
          <w:szCs w:val="20"/>
          <w:color w:val="auto"/>
        </w:rPr>
      </w:pPr>
      <w:r>
        <w:rPr>
          <w:rFonts w:ascii="Times New Roman" w:cs="Times New Roman" w:eastAsia="Times New Roman" w:hAnsi="Times New Roman"/>
          <w:sz w:val="17"/>
          <w:szCs w:val="17"/>
          <w:color w:val="0000FF"/>
        </w:rPr>
        <w:t>By /s/ Andrew Prodromos,</w:t>
      </w:r>
      <w:r>
        <w:rPr>
          <w:sz w:val="20"/>
          <w:szCs w:val="20"/>
          <w:color w:val="auto"/>
        </w:rPr>
        <w:tab/>
      </w: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2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jc w:val="right"/>
        <w:ind w:right="419"/>
        <w:spacing w:after="0"/>
        <w:tabs>
          <w:tab w:leader="none" w:pos="780" w:val="left"/>
        </w:tabs>
        <w:rPr>
          <w:sz w:val="20"/>
          <w:szCs w:val="20"/>
          <w:color w:val="auto"/>
        </w:rPr>
      </w:pPr>
      <w:r>
        <w:rPr>
          <w:rFonts w:ascii="Times New Roman" w:cs="Times New Roman" w:eastAsia="Times New Roman" w:hAnsi="Times New Roman"/>
          <w:sz w:val="17"/>
          <w:szCs w:val="17"/>
          <w:color w:val="0000FF"/>
        </w:rPr>
        <w:t>VII, Ltd. By /s/ Andrew</w:t>
      </w:r>
      <w:r>
        <w:rPr>
          <w:sz w:val="20"/>
          <w:szCs w:val="20"/>
          <w:color w:val="auto"/>
        </w:rPr>
        <w:tab/>
      </w: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Prodromos,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6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728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jc w:val="right"/>
        <w:ind w:right="419"/>
        <w:spacing w:after="0"/>
        <w:tabs>
          <w:tab w:leader="none" w:pos="780" w:val="left"/>
        </w:tabs>
        <w:rPr>
          <w:sz w:val="20"/>
          <w:szCs w:val="20"/>
          <w:color w:val="auto"/>
        </w:rPr>
      </w:pPr>
      <w:r>
        <w:rPr>
          <w:rFonts w:ascii="Times New Roman" w:cs="Times New Roman" w:eastAsia="Times New Roman" w:hAnsi="Times New Roman"/>
          <w:sz w:val="17"/>
          <w:szCs w:val="17"/>
          <w:color w:val="0000FF"/>
        </w:rPr>
        <w:t>VII, L.P. By /s/ Andrew</w:t>
      </w:r>
      <w:r>
        <w:rPr>
          <w:sz w:val="20"/>
          <w:szCs w:val="20"/>
          <w:color w:val="auto"/>
        </w:rPr>
        <w:tab/>
      </w: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Prodromos,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6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Partners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70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11" w:lineRule="exact"/>
        <w:rPr>
          <w:sz w:val="20"/>
          <w:szCs w:val="20"/>
          <w:color w:val="auto"/>
        </w:rPr>
      </w:pPr>
    </w:p>
    <w:p>
      <w:pPr>
        <w:jc w:val="right"/>
        <w:ind w:right="419"/>
        <w:spacing w:after="0"/>
        <w:tabs>
          <w:tab w:leader="none" w:pos="780" w:val="left"/>
        </w:tabs>
        <w:rPr>
          <w:sz w:val="20"/>
          <w:szCs w:val="20"/>
          <w:color w:val="auto"/>
        </w:rPr>
      </w:pPr>
      <w:r>
        <w:rPr>
          <w:rFonts w:ascii="Times New Roman" w:cs="Times New Roman" w:eastAsia="Times New Roman" w:hAnsi="Times New Roman"/>
          <w:sz w:val="17"/>
          <w:szCs w:val="17"/>
          <w:color w:val="0000FF"/>
        </w:rPr>
        <w:t>L.P. By /s/ Andrew</w:t>
      </w:r>
      <w:r>
        <w:rPr>
          <w:sz w:val="20"/>
          <w:szCs w:val="20"/>
          <w:color w:val="auto"/>
        </w:rPr>
        <w:tab/>
      </w: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0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-12700</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Prodromos,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698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Partners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433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(Co-Investors), L.P. By /s/</w:t>
      </w:r>
      <w:r>
        <w:rPr>
          <w:sz w:val="20"/>
          <w:szCs w:val="20"/>
          <w:color w:val="auto"/>
        </w:rPr>
        <w:tab/>
      </w:r>
      <w:r>
        <w:rPr>
          <w:rFonts w:ascii="Times New Roman" w:cs="Times New Roman" w:eastAsia="Times New Roman" w:hAnsi="Times New Roman"/>
          <w:sz w:val="26"/>
          <w:szCs w:val="26"/>
          <w:color w:val="0000FF"/>
          <w:vertAlign w:val="subscript"/>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1550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155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Andrew Prodromos,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34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2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(Cayman) VII, L.P. By /s/</w:t>
      </w:r>
      <w:r>
        <w:rPr>
          <w:sz w:val="20"/>
          <w:szCs w:val="20"/>
          <w:color w:val="auto"/>
        </w:rPr>
        <w:tab/>
      </w:r>
      <w:r>
        <w:rPr>
          <w:rFonts w:ascii="Times New Roman" w:cs="Times New Roman" w:eastAsia="Times New Roman" w:hAnsi="Times New Roman"/>
          <w:sz w:val="26"/>
          <w:szCs w:val="26"/>
          <w:color w:val="0000FF"/>
          <w:vertAlign w:val="subscript"/>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133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Andrew Prodromos,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134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29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ind w:left="6560"/>
        <w:spacing w:after="0" w:line="201" w:lineRule="auto"/>
        <w:tabs>
          <w:tab w:leader="none" w:pos="8740" w:val="left"/>
        </w:tabs>
        <w:rPr>
          <w:sz w:val="20"/>
          <w:szCs w:val="20"/>
          <w:color w:val="auto"/>
        </w:rPr>
      </w:pPr>
      <w:r>
        <w:rPr>
          <w:rFonts w:ascii="Times New Roman" w:cs="Times New Roman" w:eastAsia="Times New Roman" w:hAnsi="Times New Roman"/>
          <w:sz w:val="17"/>
          <w:szCs w:val="17"/>
          <w:color w:val="0000FF"/>
        </w:rPr>
        <w:t>(Delaware) VII, L.P. By /s/</w:t>
      </w:r>
      <w:r>
        <w:rPr>
          <w:sz w:val="20"/>
          <w:szCs w:val="20"/>
          <w:color w:val="auto"/>
        </w:rPr>
        <w:tab/>
      </w:r>
      <w:r>
        <w:rPr>
          <w:rFonts w:ascii="Times New Roman" w:cs="Times New Roman" w:eastAsia="Times New Roman" w:hAnsi="Times New Roman"/>
          <w:sz w:val="26"/>
          <w:szCs w:val="26"/>
          <w:color w:val="0000FF"/>
          <w:vertAlign w:val="subscript"/>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188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Andrew Prodromos,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34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17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Insight Associates XI,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379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 Andrew Prodromos,</w:t>
      </w:r>
      <w:r>
        <w:rPr>
          <w:sz w:val="20"/>
          <w:szCs w:val="20"/>
          <w:color w:val="auto"/>
        </w:rPr>
        <w:tab/>
      </w:r>
      <w:r>
        <w:rPr>
          <w:rFonts w:ascii="Times New Roman" w:cs="Times New Roman" w:eastAsia="Times New Roman" w:hAnsi="Times New Roman"/>
          <w:sz w:val="17"/>
          <w:szCs w:val="17"/>
          <w:color w:val="0000FF"/>
        </w:rPr>
        <w:t>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73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7"/>
          <w:szCs w:val="17"/>
          <w:color w:val="0000FF"/>
        </w:rPr>
        <w:t>Insight Associates XI, L.P. By  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9979"/>
          </w:cols>
          <w:pgMar w:left="480" w:top="110" w:right="1440"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/s/ Andrew Prodromos,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23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Grace Software Cross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18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Holdings, LLC By /s/ Andrew 05/13/2026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Prodromos,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9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180"/>
          </w:cols>
          <w:pgMar w:left="500" w:top="125" w:right="1219" w:bottom="1440" w:gutter="0" w:footer="0" w:header="0"/>
        </w:sectPr>
      </w:pPr>
    </w:p>
    <w:bookmarkStart w:id="4" w:name="page5"/>
    <w:bookmarkEnd w:id="4"/>
    <w:p>
      <w:pPr>
        <w:ind w:left="962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EXPLANATION OF RESPONSES</w:t>
      </w:r>
    </w:p>
    <w:p>
      <w:pPr>
        <w:spacing w:after="0" w:line="328" w:lineRule="exact"/>
        <w:rPr>
          <w:sz w:val="20"/>
          <w:szCs w:val="20"/>
          <w:color w:val="auto"/>
        </w:rPr>
      </w:pPr>
    </w:p>
    <w:p>
      <w:pPr>
        <w:ind w:left="480" w:hanging="474"/>
        <w:spacing w:after="0" w:line="269" w:lineRule="auto"/>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Agreement and Plan of Merger, dated December 17, 2025 (the “Merger Agreement”), by and among Udemy, Inc., a Delaware corporation (“Issuer”), Coursera, Inc., a Delaware public benefit corporation (“Coursera”), and Chess Merger Sub, Inc., a Delaware corporation and a direct wholly owned subsidiary of Coursera (“Merger Sub”), effective as of May 11, 2026, Merger Sub merged with and into Issuer (the “Merger”), with Issuer surviving the Merger. Pursuant to the Merger Agreement, at the effective time of the Merger, each share of common stock, par value $0.00001 per share, of Issuer (“Shares”), held by Insight Venture Partners VII, L.P., Insight Venture Partners VII (Co-Investors), L.P., Insight Venture Partners (Cayman) VII, L.P., Insight Venture Partners (Delaware) VII, L.P. and Grace Software Cross Fund Holdings, LLC was converted into the right to receive 0.800 share of common stock, par value $0.00001 per share, of Coursera.</w:t>
      </w:r>
    </w:p>
    <w:p>
      <w:pPr>
        <w:spacing w:after="0" w:line="171" w:lineRule="exact"/>
        <w:rPr>
          <w:rFonts w:ascii="Times New Roman" w:cs="Times New Roman" w:eastAsia="Times New Roman" w:hAnsi="Times New Roman"/>
          <w:sz w:val="17"/>
          <w:szCs w:val="17"/>
          <w:color w:val="auto"/>
        </w:rPr>
      </w:pPr>
    </w:p>
    <w:p>
      <w:pPr>
        <w:ind w:left="480" w:right="80" w:hanging="474"/>
        <w:spacing w:after="0" w:line="261" w:lineRule="auto"/>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exemption under Rule 16b-3 promulgated under the Securities Exchange Act of 1934, as amended, the Board of Directors of the Issuer approved the disposition of any direct or indirect pecuniary interest in any and all of the Shares by the Reporting Persons as a result of or in connection with the transactions reported in this Form 4.</w:t>
      </w:r>
    </w:p>
    <w:p>
      <w:pPr>
        <w:spacing w:after="0" w:line="177"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Insight Venture Partners VII, L.P.</w:t>
      </w:r>
    </w:p>
    <w:p>
      <w:pPr>
        <w:spacing w:after="0" w:line="21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Insight Venture Partners VII (Co-Investors), L.P.</w:t>
      </w:r>
    </w:p>
    <w:p>
      <w:pPr>
        <w:spacing w:after="0" w:line="21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Insight Venture Partners (Cayman) VII, L.P.</w:t>
      </w:r>
    </w:p>
    <w:p>
      <w:pPr>
        <w:spacing w:after="0" w:line="21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Insight Venture Partners (Delaware) VII, L.P.</w:t>
      </w:r>
    </w:p>
    <w:p>
      <w:pPr>
        <w:spacing w:after="0" w:line="219" w:lineRule="exact"/>
        <w:rPr>
          <w:rFonts w:ascii="Times New Roman" w:cs="Times New Roman" w:eastAsia="Times New Roman" w:hAnsi="Times New Roman"/>
          <w:sz w:val="18"/>
          <w:szCs w:val="18"/>
          <w:color w:val="auto"/>
        </w:rPr>
      </w:pPr>
    </w:p>
    <w:p>
      <w:pPr>
        <w:ind w:left="480" w:hanging="47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directly by Grace Software Cross Fund Holdings, LLC.</w:t>
      </w:r>
    </w:p>
    <w:p>
      <w:pPr>
        <w:sectPr>
          <w:pgSz w:w="11900" w:h="16838" w:orient="portrait"/>
          <w:cols w:equalWidth="0" w:num="1">
            <w:col w:w="10660"/>
          </w:cols>
          <w:pgMar w:left="780" w:top="386" w:right="4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9"/>
              </w:rPr>
              <w:t>JOINT FILERS’ SIGNATURES</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HOLDINGS GROUP, LLC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67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INSIGHT VENTURE ASSOCIATES VII, LTD.</w:t>
            </w:r>
          </w:p>
        </w:tc>
        <w:tc>
          <w:tcPr>
            <w:tcW w:w="130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18"/>
                <w:szCs w:val="18"/>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6780" w:type="dxa"/>
            <w:vAlign w:val="bottom"/>
            <w:gridSpan w:val="5"/>
          </w:tcPr>
          <w:p>
            <w:pPr>
              <w:spacing w:after="0" w:line="192" w:lineRule="exact"/>
              <w:rPr>
                <w:sz w:val="20"/>
                <w:szCs w:val="20"/>
                <w:color w:val="auto"/>
              </w:rPr>
            </w:pPr>
            <w:r>
              <w:rPr>
                <w:rFonts w:ascii="Times New Roman" w:cs="Times New Roman" w:eastAsia="Times New Roman" w:hAnsi="Times New Roman"/>
                <w:sz w:val="18"/>
                <w:szCs w:val="18"/>
                <w:color w:val="auto"/>
              </w:rPr>
              <w:t>INSIGHT VENTURE ASSOCIATES VII, L.P.</w:t>
            </w:r>
          </w:p>
        </w:tc>
        <w:tc>
          <w:tcPr>
            <w:tcW w:w="130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Ltd.,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VENTURE PARTNERS VII, L.P.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L.P.,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3"/>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Ltd., its general partner</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399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15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4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VENTURE PARTNERS VII (CO-INVESTORS), L.P.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L.P.,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3"/>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Ltd., its general partner</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VENTURE PARTNERS (CAYMAN) VII, L.P.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L.P.,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3"/>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Ltd., its general partner</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VENTURE PARTNERS (DELAWARE) VII, L.P.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L.P.,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13"/>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Venture Associates VII, Ltd., its general partner</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ASSOCIATES XI, LTD.</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INSIGHT ASSOCIATES XI, L.P.</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215"/>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Insight Associates XI, Ltd., its general partner</w:t>
            </w:r>
          </w:p>
        </w:tc>
        <w:tc>
          <w:tcPr>
            <w:tcW w:w="5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192"/>
        </w:trPr>
        <w:tc>
          <w:tcPr>
            <w:tcW w:w="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2"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86"/>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GRACE SOFTWARE CROSS FUND HOLDINGS, LLC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Date: 05/13/2026</w:t>
            </w:r>
          </w:p>
        </w:tc>
      </w:t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5880" w:type="dxa"/>
            <w:vAlign w:val="bottom"/>
            <w:gridSpan w:val="4"/>
          </w:tcPr>
          <w:p>
            <w:pPr>
              <w:jc w:val="center"/>
              <w:ind w:right="4231"/>
              <w:spacing w:after="0" w:line="194" w:lineRule="exact"/>
              <w:rPr>
                <w:sz w:val="20"/>
                <w:szCs w:val="20"/>
                <w:color w:val="auto"/>
              </w:rPr>
            </w:pPr>
            <w:r>
              <w:rPr>
                <w:rFonts w:ascii="Times New Roman" w:cs="Times New Roman" w:eastAsia="Times New Roman" w:hAnsi="Times New Roman"/>
                <w:sz w:val="18"/>
                <w:szCs w:val="18"/>
                <w:color w:val="auto"/>
                <w:w w:val="98"/>
              </w:rPr>
              <w:t>/s/Andrew Prodromos</w:t>
            </w:r>
          </w:p>
        </w:tc>
        <w:tc>
          <w:tcPr>
            <w:tcW w:w="5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1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5760" w:type="dxa"/>
            <w:vAlign w:val="bottom"/>
            <w:gridSpan w:val="3"/>
          </w:tcPr>
          <w:p>
            <w:pPr>
              <w:jc w:val="center"/>
              <w:ind w:right="4071"/>
              <w:spacing w:after="0"/>
              <w:rPr>
                <w:sz w:val="20"/>
                <w:szCs w:val="20"/>
                <w:color w:val="auto"/>
              </w:rPr>
            </w:pPr>
            <w:r>
              <w:rPr>
                <w:rFonts w:ascii="Times New Roman" w:cs="Times New Roman" w:eastAsia="Times New Roman" w:hAnsi="Times New Roman"/>
                <w:sz w:val="18"/>
                <w:szCs w:val="18"/>
                <w:color w:val="auto"/>
                <w:w w:val="98"/>
              </w:rPr>
              <w:t>Andrew Prodromos</w:t>
            </w:r>
          </w:p>
        </w:tc>
        <w:tc>
          <w:tcPr>
            <w:tcW w:w="5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20" w:type="dxa"/>
            <w:vAlign w:val="bottom"/>
          </w:tcPr>
          <w:p>
            <w:pPr>
              <w:spacing w:after="0"/>
              <w:rPr>
                <w:sz w:val="20"/>
                <w:szCs w:val="20"/>
                <w:color w:val="auto"/>
              </w:rPr>
            </w:pPr>
          </w:p>
        </w:tc>
        <w:tc>
          <w:tcPr>
            <w:tcW w:w="5760" w:type="dxa"/>
            <w:vAlign w:val="bottom"/>
            <w:gridSpan w:val="3"/>
          </w:tcPr>
          <w:p>
            <w:pPr>
              <w:jc w:val="center"/>
              <w:ind w:right="4311"/>
              <w:spacing w:after="0"/>
              <w:rPr>
                <w:sz w:val="20"/>
                <w:szCs w:val="20"/>
                <w:color w:val="auto"/>
              </w:rPr>
            </w:pPr>
            <w:r>
              <w:rPr>
                <w:rFonts w:ascii="Times New Roman" w:cs="Times New Roman" w:eastAsia="Times New Roman" w:hAnsi="Times New Roman"/>
                <w:sz w:val="18"/>
                <w:szCs w:val="18"/>
                <w:color w:val="auto"/>
                <w:w w:val="98"/>
              </w:rPr>
              <w:t>Authorized Officer</w:t>
            </w:r>
          </w:p>
        </w:tc>
        <w:tc>
          <w:tcPr>
            <w:tcW w:w="5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ectPr>
          <w:pgSz w:w="11900" w:h="16838" w:orient="portrait"/>
          <w:cols w:equalWidth="0" w:num="1">
            <w:col w:w="10980"/>
          </w:cols>
          <w:pgMar w:left="460" w:top="399" w:right="45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FILER INFORMATION</w:t>
      </w:r>
    </w:p>
    <w:p>
      <w:pPr>
        <w:spacing w:after="0" w:line="221"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0 shares of common stock are held of record by Insight Venture Partners VII, L.P. (“IVP VII”), 0 shares of common stock are held of record by Insight Venture Partners VII (Co-Investors), L.P. (“Co-Investors VII”), 0 shares of common stock are held of record by Insight Venture Partners (Cayman) VII, L.P. (“Cayman VII”) and 0 shares of common stock are held of record by Insight Venture Partners (Delaware) VII, L.P. (“Delaware VII” and, together with IVP VII, Co-Investors VII and Cayman VII, the “IVP VII Entities”).</w:t>
      </w:r>
    </w:p>
    <w:p>
      <w:pPr>
        <w:spacing w:after="0" w:line="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amount listed as owned by each IVP VII Entity may be deemed to be attributable to each of the other IVP VII Entities, Insight Venture Associates VII, L.P. (“IVA VII LP”), Insight Venture Associates VII, Ltd. (“IVA VII Ltd”) and Insight Holdings Group, LLC (“Holdings”), because Holdings is the sole shareholder of IVA VII Ltd, which in turn is the general partner of IVA VII LP, which in turn is the general partner of each of the IVP VII Entities.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0 shares of common stock are held of record by Grace Software Cross Fund Holdings, LLC (“Grace”). The amount listed as owned by Grace may be deemed to be attributable to each of Insight Associates XI, L.P. (“IA XI LP”), Insight Associates XI, Ltd. (“IA XI Ltd”) and Holdings, because Holdings is the sole shareholder of IA XI Ltd, which in turn is the general partner of IA XI LP, which in turn is the manager of Grace.</w:t>
      </w:r>
    </w:p>
    <w:p>
      <w:pPr>
        <w:spacing w:after="0" w:line="17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0 shares of common stock are held of record by Insight Partners Public Equities Master Fund, L.P. (“IPPE Master Fund” and, together with the IVP VII Entities and Grace, the “Funds”). The amount listed as owned by IPPE Master Fund may be deemed to be attributable to Insight Partners Public Equities GP, LLC (“IPPE GP”), Insight Venture Management, LLC (“IVM”), Insight Falcon Partners (A), L.P. (“Falcon LP”), Insight Falcon Associates, Ltd. (“Falcon Ltd”) and Holdings, because Holdings is the sole shareholder of Falcon Ltd, which in turn is the general partner of Falcon LP, which in turn is the sole member of IVM, which in turn is the sole member of IPPE GP, which in turn is the general partner of IPPE Master Fund.</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Jeffrey Horing, Deven Parekh, Jeffrey Lieberman and Michael Triplett is a member of the board of managers of Holdings and may be deemed to have shared voting and dispositive power over the shares held of record by the Funds. The foregoing is not an admission by IVA VII LP, IVA VII Ltd, IA XI LP, IA XI Ltd, Falcon LP, Falcon Ltd, IVM, IPPE GP or Holdings that it is the beneficial owner of the shares held of record by the Funds. Each of Messrs. Horing, Parekh, Lieberman and Triplett disclaims beneficial ownership of the shares held by the Funds, except to the extent of his pecuniary interest therein.</w:t>
      </w:r>
    </w:p>
    <w:p>
      <w:pPr>
        <w:spacing w:after="0" w:line="174" w:lineRule="exact"/>
        <w:rPr>
          <w:sz w:val="20"/>
          <w:szCs w:val="20"/>
          <w:color w:val="auto"/>
        </w:rPr>
      </w:pPr>
    </w:p>
    <w:p>
      <w:pPr>
        <w:jc w:val="both"/>
        <w:ind w:right="20"/>
        <w:spacing w:after="0" w:line="202" w:lineRule="auto"/>
        <w:rPr>
          <w:sz w:val="20"/>
          <w:szCs w:val="20"/>
          <w:color w:val="auto"/>
        </w:rPr>
      </w:pPr>
      <w:r>
        <w:rPr>
          <w:rFonts w:ascii="Times New Roman" w:cs="Times New Roman" w:eastAsia="Times New Roman" w:hAnsi="Times New Roman"/>
          <w:sz w:val="18"/>
          <w:szCs w:val="18"/>
          <w:color w:val="auto"/>
        </w:rPr>
        <w:t>The address of each of the entities and persons identified in this Exhibit 99.3 is c/o Insight Partners, 1114 Avenue of the Americas, 36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10036.</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3"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13" Type="http://schemas.openxmlformats.org/officeDocument/2006/relationships/hyperlink" Target="http://www.sec.gov/cgi-bin/browse-edgar?action=getcompany&amp;CIK=0001305473" TargetMode="External"/><Relationship Id="rId14" Type="http://schemas.openxmlformats.org/officeDocument/2006/relationships/hyperlink" Target="http://www.sec.gov/cgi-bin/browse-edgar?action=getcompany&amp;CIK=0001607939" TargetMode="External"/><Relationship Id="rId16" Type="http://schemas.openxmlformats.org/officeDocument/2006/relationships/hyperlink" Target="http://www.sec.gov/cgi-bin/browse-edgar?action=getcompany&amp;CIK=0001545169" TargetMode="External"/><Relationship Id="rId18" Type="http://schemas.openxmlformats.org/officeDocument/2006/relationships/hyperlink" Target="http://www.sec.gov/cgi-bin/browse-edgar?action=getcompany&amp;CIK=0001545168" TargetMode="External"/><Relationship Id="rId19" Type="http://schemas.openxmlformats.org/officeDocument/2006/relationships/hyperlink" Target="http://www.sec.gov/cgi-bin/browse-edgar?action=getcompany&amp;CIK=0001508854" TargetMode="External"/><Relationship Id="rId20" Type="http://schemas.openxmlformats.org/officeDocument/2006/relationships/hyperlink" Target="http://www.sec.gov/cgi-bin/browse-edgar?action=getcompany&amp;CIK=0001519801" TargetMode="External"/><Relationship Id="rId21" Type="http://schemas.openxmlformats.org/officeDocument/2006/relationships/hyperlink" Target="http://www.sec.gov/cgi-bin/browse-edgar?action=getcompany&amp;CIK=0001508855" TargetMode="External"/><Relationship Id="rId22" Type="http://schemas.openxmlformats.org/officeDocument/2006/relationships/hyperlink" Target="http://www.sec.gov/cgi-bin/browse-edgar?action=getcompany&amp;CIK=0001545170" TargetMode="External"/><Relationship Id="rId24" Type="http://schemas.openxmlformats.org/officeDocument/2006/relationships/hyperlink" Target="http://www.sec.gov/cgi-bin/browse-edgar?action=getcompany&amp;CIK=0001871124" TargetMode="External"/><Relationship Id="rId25" Type="http://schemas.openxmlformats.org/officeDocument/2006/relationships/hyperlink" Target="http://www.sec.gov/cgi-bin/browse-edgar?action=getcompany&amp;CIK=0001871148" TargetMode="External"/><Relationship Id="rId26" Type="http://schemas.openxmlformats.org/officeDocument/2006/relationships/hyperlink" Target="http://www.sec.gov/cgi-bin/browse-edgar?action=getcompany&amp;CIK=00018898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2026-05-13T20:48:43Z</dcterms:created>
  <dcterms:modified xsi:type="dcterms:W3CDTF">2026-05-13T20:48:43Z</dcterms:modified>
</cp:coreProperties>
</file>