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Udemy, Inc.</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tbl>
      <w:tblPr>
        <w:tblLayout w:type="fixed"/>
        <w:tblInd w:w="1040" w:type="dxa"/>
        <w:tblCellMar>
          <w:top w:w="0" w:type="dxa"/>
          <w:left w:w="0" w:type="dxa"/>
          <w:bottom w:w="0" w:type="dxa"/>
          <w:right w:w="0" w:type="dxa"/>
        </w:tblCellMar>
      </w:tblPr>
      <w:tr>
        <w:trPr>
          <w:trHeight w:val="230"/>
        </w:trPr>
        <w:tc>
          <w:tcPr>
            <w:tcW w:w="3160" w:type="dxa"/>
            <w:vAlign w:val="bottom"/>
          </w:tcPr>
          <w:p>
            <w:pPr>
              <w:jc w:val="center"/>
              <w:ind w:right="544"/>
              <w:spacing w:after="0"/>
              <w:rPr>
                <w:sz w:val="20"/>
                <w:szCs w:val="20"/>
                <w:color w:val="auto"/>
              </w:rPr>
            </w:pPr>
            <w:r>
              <w:rPr>
                <w:rFonts w:ascii="Arial" w:cs="Arial" w:eastAsia="Arial" w:hAnsi="Arial"/>
                <w:sz w:val="18"/>
                <w:szCs w:val="18"/>
                <w:b w:val="1"/>
                <w:bCs w:val="1"/>
                <w:color w:val="auto"/>
                <w:w w:val="98"/>
              </w:rPr>
              <w:t>Delaware</w:t>
            </w:r>
          </w:p>
        </w:tc>
        <w:tc>
          <w:tcPr>
            <w:tcW w:w="3220" w:type="dxa"/>
            <w:vAlign w:val="bottom"/>
          </w:tcPr>
          <w:p>
            <w:pPr>
              <w:jc w:val="right"/>
              <w:ind w:right="1284"/>
              <w:spacing w:after="0"/>
              <w:rPr>
                <w:sz w:val="20"/>
                <w:szCs w:val="20"/>
                <w:color w:val="auto"/>
              </w:rPr>
            </w:pPr>
            <w:r>
              <w:rPr>
                <w:rFonts w:ascii="Arial" w:cs="Arial" w:eastAsia="Arial" w:hAnsi="Arial"/>
                <w:sz w:val="18"/>
                <w:szCs w:val="18"/>
                <w:b w:val="1"/>
                <w:bCs w:val="1"/>
                <w:color w:val="auto"/>
              </w:rPr>
              <w:t>001-40956</w:t>
            </w: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27-1779864</w:t>
            </w:r>
          </w:p>
        </w:tc>
      </w:tr>
      <w:tr>
        <w:trPr>
          <w:trHeight w:val="126"/>
        </w:trPr>
        <w:tc>
          <w:tcPr>
            <w:tcW w:w="3160" w:type="dxa"/>
            <w:vAlign w:val="bottom"/>
          </w:tcPr>
          <w:p>
            <w:pPr>
              <w:jc w:val="center"/>
              <w:ind w:right="544"/>
              <w:spacing w:after="0" w:line="126" w:lineRule="exact"/>
              <w:rPr>
                <w:sz w:val="20"/>
                <w:szCs w:val="20"/>
                <w:color w:val="auto"/>
              </w:rPr>
            </w:pPr>
            <w:r>
              <w:rPr>
                <w:rFonts w:ascii="Arial" w:cs="Arial" w:eastAsia="Arial" w:hAnsi="Arial"/>
                <w:sz w:val="13"/>
                <w:szCs w:val="13"/>
                <w:b w:val="1"/>
                <w:bCs w:val="1"/>
                <w:color w:val="auto"/>
                <w:w w:val="96"/>
              </w:rPr>
              <w:t>(State or Other Jurisdiction</w:t>
            </w:r>
          </w:p>
        </w:tc>
        <w:tc>
          <w:tcPr>
            <w:tcW w:w="3220" w:type="dxa"/>
            <w:vAlign w:val="bottom"/>
          </w:tcPr>
          <w:p>
            <w:pPr>
              <w:jc w:val="center"/>
              <w:ind w:right="304"/>
              <w:spacing w:after="0" w:line="126" w:lineRule="exact"/>
              <w:rPr>
                <w:sz w:val="20"/>
                <w:szCs w:val="20"/>
                <w:color w:val="auto"/>
              </w:rPr>
            </w:pPr>
            <w:r>
              <w:rPr>
                <w:rFonts w:ascii="Arial" w:cs="Arial" w:eastAsia="Arial" w:hAnsi="Arial"/>
                <w:sz w:val="13"/>
                <w:szCs w:val="13"/>
                <w:b w:val="1"/>
                <w:bCs w:val="1"/>
                <w:color w:val="auto"/>
                <w:w w:val="96"/>
              </w:rPr>
              <w:t>(Commission File Number)</w:t>
            </w:r>
          </w:p>
        </w:tc>
        <w:tc>
          <w:tcPr>
            <w:tcW w:w="2060" w:type="dxa"/>
            <w:vAlign w:val="bottom"/>
          </w:tcPr>
          <w:p>
            <w:pPr>
              <w:jc w:val="center"/>
              <w:ind w:left="886"/>
              <w:spacing w:after="0" w:line="126"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3160" w:type="dxa"/>
            <w:vAlign w:val="bottom"/>
          </w:tcPr>
          <w:p>
            <w:pPr>
              <w:jc w:val="center"/>
              <w:ind w:right="544"/>
              <w:spacing w:after="0"/>
              <w:rPr>
                <w:sz w:val="20"/>
                <w:szCs w:val="20"/>
                <w:color w:val="auto"/>
              </w:rPr>
            </w:pPr>
            <w:r>
              <w:rPr>
                <w:rFonts w:ascii="Arial" w:cs="Arial" w:eastAsia="Arial" w:hAnsi="Arial"/>
                <w:sz w:val="13"/>
                <w:szCs w:val="13"/>
                <w:b w:val="1"/>
                <w:bCs w:val="1"/>
                <w:color w:val="auto"/>
                <w:w w:val="98"/>
              </w:rPr>
              <w:t>of Incorporation)</w:t>
            </w:r>
          </w:p>
        </w:tc>
        <w:tc>
          <w:tcPr>
            <w:tcW w:w="3220" w:type="dxa"/>
            <w:vAlign w:val="bottom"/>
          </w:tcPr>
          <w:p>
            <w:pPr>
              <w:spacing w:after="0"/>
              <w:rPr>
                <w:sz w:val="14"/>
                <w:szCs w:val="14"/>
                <w:color w:val="auto"/>
              </w:rPr>
            </w:pPr>
          </w:p>
        </w:tc>
        <w:tc>
          <w:tcPr>
            <w:tcW w:w="2060" w:type="dxa"/>
            <w:vAlign w:val="bottom"/>
          </w:tcPr>
          <w:p>
            <w:pPr>
              <w:jc w:val="center"/>
              <w:ind w:left="906"/>
              <w:spacing w:after="0"/>
              <w:rPr>
                <w:sz w:val="20"/>
                <w:szCs w:val="20"/>
                <w:color w:val="auto"/>
              </w:rPr>
            </w:pPr>
            <w:r>
              <w:rPr>
                <w:rFonts w:ascii="Arial" w:cs="Arial" w:eastAsia="Arial" w:hAnsi="Arial"/>
                <w:sz w:val="13"/>
                <w:szCs w:val="13"/>
                <w:b w:val="1"/>
                <w:bCs w:val="1"/>
                <w:color w:val="auto"/>
                <w:w w:val="98"/>
              </w:rPr>
              <w:t>Identification No.)</w:t>
            </w:r>
          </w:p>
        </w:tc>
      </w:tr>
      <w:tr>
        <w:trPr>
          <w:trHeight w:val="457"/>
        </w:trPr>
        <w:tc>
          <w:tcPr>
            <w:tcW w:w="3160" w:type="dxa"/>
            <w:vAlign w:val="bottom"/>
          </w:tcPr>
          <w:p>
            <w:pPr>
              <w:jc w:val="center"/>
              <w:ind w:right="544"/>
              <w:spacing w:after="0"/>
              <w:rPr>
                <w:sz w:val="20"/>
                <w:szCs w:val="20"/>
                <w:color w:val="auto"/>
              </w:rPr>
            </w:pPr>
            <w:r>
              <w:rPr>
                <w:rFonts w:ascii="Arial" w:cs="Arial" w:eastAsia="Arial" w:hAnsi="Arial"/>
                <w:sz w:val="18"/>
                <w:szCs w:val="18"/>
                <w:b w:val="1"/>
                <w:bCs w:val="1"/>
                <w:color w:val="auto"/>
              </w:rPr>
              <w:t>600 Harrison Street, 3rd Floor</w:t>
            </w:r>
          </w:p>
        </w:tc>
        <w:tc>
          <w:tcPr>
            <w:tcW w:w="32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0"/>
        </w:trPr>
        <w:tc>
          <w:tcPr>
            <w:tcW w:w="3160" w:type="dxa"/>
            <w:vAlign w:val="bottom"/>
          </w:tcPr>
          <w:p>
            <w:pPr>
              <w:jc w:val="center"/>
              <w:ind w:right="544"/>
              <w:spacing w:after="0"/>
              <w:rPr>
                <w:sz w:val="20"/>
                <w:szCs w:val="20"/>
                <w:color w:val="auto"/>
              </w:rPr>
            </w:pPr>
            <w:r>
              <w:rPr>
                <w:rFonts w:ascii="Arial" w:cs="Arial" w:eastAsia="Arial" w:hAnsi="Arial"/>
                <w:sz w:val="18"/>
                <w:szCs w:val="18"/>
                <w:b w:val="1"/>
                <w:bCs w:val="1"/>
                <w:color w:val="auto"/>
                <w:w w:val="99"/>
              </w:rPr>
              <w:t>San Francisco, California</w:t>
            </w:r>
          </w:p>
        </w:tc>
        <w:tc>
          <w:tcPr>
            <w:tcW w:w="3220" w:type="dxa"/>
            <w:vAlign w:val="bottom"/>
          </w:tcPr>
          <w:p>
            <w:pPr>
              <w:spacing w:after="0"/>
              <w:rPr>
                <w:sz w:val="20"/>
                <w:szCs w:val="20"/>
                <w:color w:val="auto"/>
              </w:rPr>
            </w:pPr>
          </w:p>
        </w:tc>
        <w:tc>
          <w:tcPr>
            <w:tcW w:w="2060" w:type="dxa"/>
            <w:vAlign w:val="bottom"/>
          </w:tcPr>
          <w:p>
            <w:pPr>
              <w:jc w:val="right"/>
              <w:ind w:right="226"/>
              <w:spacing w:after="0"/>
              <w:rPr>
                <w:sz w:val="20"/>
                <w:szCs w:val="20"/>
                <w:color w:val="auto"/>
              </w:rPr>
            </w:pPr>
            <w:r>
              <w:rPr>
                <w:rFonts w:ascii="Arial" w:cs="Arial" w:eastAsia="Arial" w:hAnsi="Arial"/>
                <w:sz w:val="18"/>
                <w:szCs w:val="18"/>
                <w:b w:val="1"/>
                <w:bCs w:val="1"/>
                <w:color w:val="auto"/>
              </w:rPr>
              <w:t>94107</w:t>
            </w:r>
          </w:p>
        </w:tc>
      </w:tr>
      <w:tr>
        <w:trPr>
          <w:trHeight w:val="172"/>
        </w:trPr>
        <w:tc>
          <w:tcPr>
            <w:tcW w:w="3160" w:type="dxa"/>
            <w:vAlign w:val="bottom"/>
          </w:tcPr>
          <w:p>
            <w:pPr>
              <w:jc w:val="center"/>
              <w:ind w:right="544"/>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3220" w:type="dxa"/>
            <w:vAlign w:val="bottom"/>
          </w:tcPr>
          <w:p>
            <w:pPr>
              <w:spacing w:after="0"/>
              <w:rPr>
                <w:sz w:val="14"/>
                <w:szCs w:val="14"/>
                <w:color w:val="auto"/>
              </w:rPr>
            </w:pPr>
          </w:p>
        </w:tc>
        <w:tc>
          <w:tcPr>
            <w:tcW w:w="2060" w:type="dxa"/>
            <w:vAlign w:val="bottom"/>
          </w:tcPr>
          <w:p>
            <w:pPr>
              <w:jc w:val="center"/>
              <w:ind w:left="886"/>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813-1710</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rPr>
              <w:t>Title of each class</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Trading</w:t>
            </w:r>
          </w:p>
        </w:tc>
        <w:tc>
          <w:tcPr>
            <w:tcW w:w="5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380" w:type="dxa"/>
            <w:vAlign w:val="bottom"/>
            <w:gridSpan w:val="2"/>
            <w:vMerge w:val="continue"/>
          </w:tcPr>
          <w:p>
            <w:pPr>
              <w:spacing w:after="0"/>
              <w:rPr>
                <w:sz w:val="21"/>
                <w:szCs w:val="21"/>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Symbol(s)</w:t>
            </w:r>
          </w:p>
        </w:tc>
        <w:tc>
          <w:tcPr>
            <w:tcW w:w="5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2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Common Stock, $0.00001 par value per share</w:t>
            </w:r>
          </w:p>
        </w:tc>
        <w:tc>
          <w:tcPr>
            <w:tcW w:w="14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rPr>
              <w:t>UDMY</w:t>
            </w:r>
          </w:p>
        </w:tc>
        <w:tc>
          <w:tcPr>
            <w:tcW w:w="160" w:type="dxa"/>
            <w:vAlign w:val="bottom"/>
          </w:tcPr>
          <w:p>
            <w:pPr>
              <w:spacing w:after="0"/>
              <w:rPr>
                <w:sz w:val="14"/>
                <w:szCs w:val="14"/>
                <w:color w:val="auto"/>
              </w:rPr>
            </w:pPr>
          </w:p>
        </w:tc>
        <w:tc>
          <w:tcPr>
            <w:tcW w:w="5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9"/>
        </w:trPr>
        <w:tc>
          <w:tcPr>
            <w:tcW w:w="4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c>
          <w:tcPr>
            <w:tcW w:w="0" w:type="dxa"/>
            <w:vAlign w:val="bottom"/>
          </w:tcPr>
          <w:p>
            <w:pPr>
              <w:spacing w:after="0"/>
              <w:rPr>
                <w:sz w:val="1"/>
                <w:szCs w:val="1"/>
                <w:color w:val="auto"/>
              </w:rPr>
            </w:pPr>
          </w:p>
        </w:tc>
      </w:tr>
    </w:tbl>
    <w:p>
      <w:pPr>
        <w:spacing w:after="0" w:line="296" w:lineRule="exact"/>
        <w:rPr>
          <w:sz w:val="24"/>
          <w:szCs w:val="24"/>
          <w:color w:val="auto"/>
        </w:rPr>
      </w:pPr>
    </w:p>
    <w:p>
      <w:pPr>
        <w:ind w:right="8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9"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9" w:right="339" w:bottom="974" w:gutter="0" w:footer="0" w:header="0"/>
        </w:sectPr>
      </w:pPr>
    </w:p>
    <w:bookmarkStart w:id="1" w:name="page2"/>
    <w:bookmarkEnd w:id="1"/>
    <w:p>
      <w:pPr>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931" w:right="5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Consistent with the announcement by Udemy, Inc. (the "Company") on July 31, 2024, regarding driving greater operational efficiencies through reduction of organizational layers, optimization of the Company’s go-to-market organization, and relocation of certain roles to lower cost locations, on September 11, 2024, the Company committed to a restructuring plan that will impact approximately 280 of the Company's global employees. The Company expects to rehire approximately half of the impacted roles, primarily in lower cost geographies. As a result, the Company expects to recognize restructuring charges between $16 million and $19 million, which primarily consist of personnel expenses such as salaries and wages, one-time severance payments, and other benefits. These charges will be recognized into expense beginning in the third quarter of 2024 and ending in the first quarter of 2025. Cash payments related to these expenses will be spread across the next several fiscal quarters. The restructuring is expected to be completed by March 31, 2025.</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estimates of costs and expenses that the Company expects to incur in connection with the restructuring are subject to a number of assumptions and actual results may differ materially. The Company may also incur additional costs not currently contemplated due to events that may occur as a result of, or that are associated with, the restructuring.</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Current Report on Form 8-K contains “forward-looking statements” within the meaning of the federal securities laws. These forward-looking statements include, but are not limited to, those related to the expected costs and benefits associated with the restructuring, the Company's planned rehiring in lower cost geographies, and the Company’s timeline for completing the restructuring and recognition of associated costs. These forward-looking statements are based on the Company’s current expectations and inherently involve significant risks and uncertainties, including those described in the Company’s most recent Quarterly Report on Form 10-Q and Annual Report on Form 10-K. Therefore, the Company’s actual results could differ materially from those expressed, implied or forecast in any such forward-looking statements. For example, the expected costs associated with the restructuring may be greater than anticipated, completion of the restructuring may take longer than anticipated, the Company may be unable to realize the contemplated benefits in connection with the restructuring, and the restructuring may have an adverse impact on the Company’s performance. Except as required by law, the Company undertakes no duty or obligation to update any forward-looking statements contained in this Current Report on Form 8-K,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1075055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UDEMY, INC.</w:t>
      </w:r>
    </w:p>
    <w:p>
      <w:pPr>
        <w:spacing w:after="0" w:line="239" w:lineRule="exact"/>
        <w:rPr>
          <w:sz w:val="20"/>
          <w:szCs w:val="20"/>
          <w:color w:val="auto"/>
        </w:rPr>
      </w:pPr>
    </w:p>
    <w:p>
      <w:pPr>
        <w:ind w:left="20"/>
        <w:spacing w:after="0"/>
        <w:tabs>
          <w:tab w:leader="none" w:pos="680" w:val="left"/>
          <w:tab w:leader="none" w:pos="5600" w:val="left"/>
          <w:tab w:leader="none" w:pos="6060" w:val="left"/>
        </w:tabs>
        <w:rPr>
          <w:sz w:val="20"/>
          <w:szCs w:val="20"/>
          <w:color w:val="auto"/>
        </w:rPr>
      </w:pPr>
      <w:r>
        <w:rPr>
          <w:rFonts w:ascii="Arial" w:cs="Arial" w:eastAsia="Arial" w:hAnsi="Arial"/>
          <w:sz w:val="18"/>
          <w:szCs w:val="18"/>
          <w:color w:val="auto"/>
        </w:rPr>
        <w:t>Date:</w:t>
        <w:tab/>
        <w:t>September 16, 2024</w:t>
      </w:r>
      <w:r>
        <w:rPr>
          <w:sz w:val="20"/>
          <w:szCs w:val="20"/>
          <w:color w:val="auto"/>
        </w:rPr>
        <w:tab/>
      </w:r>
      <w:r>
        <w:rPr>
          <w:rFonts w:ascii="Arial" w:cs="Arial" w:eastAsia="Arial" w:hAnsi="Arial"/>
          <w:sz w:val="18"/>
          <w:szCs w:val="18"/>
          <w:color w:val="auto"/>
        </w:rPr>
        <w:t>By:</w:t>
        <w:tab/>
        <w:t>/s/ Ken Hirschman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17780</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Ken Hirschman</w:t>
      </w:r>
    </w:p>
    <w:p>
      <w:pPr>
        <w:ind w:left="6080"/>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120"/>
      </w:cols>
      <w:pgMar w:left="320" w:top="7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2024-09-16T15:25:52Z</dcterms:created>
  <dcterms:modified xsi:type="dcterms:W3CDTF">2024-09-16T15:25:52Z</dcterms:modified>
</cp:coreProperties>
</file>