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871855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246380</wp:posOffset>
            </wp:positionV>
            <wp:extent cx="129413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13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20"/>
        <w:spacing w:after="0"/>
        <w:tabs>
          <w:tab w:leader="none" w:pos="8820" w:val="left"/>
        </w:tabs>
        <w:rPr>
          <w:sz w:val="20"/>
          <w:szCs w:val="20"/>
          <w:color w:val="auto"/>
        </w:rPr>
      </w:pPr>
      <w:r>
        <w:rPr>
          <w:rFonts w:ascii="Arial" w:cs="Arial" w:eastAsia="Arial" w:hAnsi="Arial"/>
          <w:sz w:val="25"/>
          <w:szCs w:val="25"/>
          <w:b w:val="1"/>
          <w:bCs w:val="1"/>
          <w:i w:val="1"/>
          <w:iCs w:val="1"/>
          <w:color w:val="auto"/>
        </w:rPr>
        <w:t>Common stock</w:t>
      </w:r>
      <w:r>
        <w:rPr>
          <w:sz w:val="20"/>
          <w:szCs w:val="20"/>
          <w:color w:val="auto"/>
        </w:rPr>
        <w:tab/>
      </w:r>
      <w:r>
        <w:rPr>
          <w:rFonts w:ascii="Arial" w:cs="Arial" w:eastAsia="Arial" w:hAnsi="Arial"/>
          <w:sz w:val="25"/>
          <w:szCs w:val="25"/>
          <w:b w:val="1"/>
          <w:bCs w:val="1"/>
          <w:i w:val="1"/>
          <w:iCs w:val="1"/>
          <w:color w:val="auto"/>
        </w:rPr>
        <w:t>14,500,000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5" w:lineRule="exact"/>
        <w:rPr>
          <w:sz w:val="24"/>
          <w:szCs w:val="24"/>
          <w:color w:val="auto"/>
        </w:rPr>
      </w:pPr>
    </w:p>
    <w:p>
      <w:pPr>
        <w:ind w:left="120" w:right="200"/>
        <w:spacing w:after="0" w:line="246" w:lineRule="auto"/>
        <w:rPr>
          <w:sz w:val="20"/>
          <w:szCs w:val="20"/>
          <w:color w:val="auto"/>
        </w:rPr>
      </w:pPr>
      <w:r>
        <w:rPr>
          <w:rFonts w:ascii="Arial" w:cs="Arial" w:eastAsia="Arial" w:hAnsi="Arial"/>
          <w:sz w:val="18"/>
          <w:szCs w:val="18"/>
          <w:color w:val="auto"/>
        </w:rPr>
        <w:t>This is an initial public offering of shares of common stock by Udemy, Inc. We are offering 14,500,000 shares of our common stock to be sold in the offering. The initial public offering price is $29.00 per share.</w:t>
      </w:r>
    </w:p>
    <w:p>
      <w:pPr>
        <w:spacing w:after="0" w:line="197" w:lineRule="exact"/>
        <w:rPr>
          <w:sz w:val="24"/>
          <w:szCs w:val="24"/>
          <w:color w:val="auto"/>
        </w:rPr>
      </w:pPr>
    </w:p>
    <w:p>
      <w:pPr>
        <w:ind w:left="120" w:right="500"/>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“UDMY”.</w:t>
      </w:r>
    </w:p>
    <w:p>
      <w:pPr>
        <w:spacing w:after="0" w:line="197" w:lineRule="exact"/>
        <w:rPr>
          <w:sz w:val="24"/>
          <w:szCs w:val="24"/>
          <w:color w:val="auto"/>
        </w:rPr>
      </w:pPr>
    </w:p>
    <w:p>
      <w:pPr>
        <w:ind w:left="120" w:right="420"/>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w:t>
      </w:r>
    </w:p>
    <w:p>
      <w:pPr>
        <w:spacing w:after="0" w:line="19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Prior to the date hereof, certain funds and accounts managed by entities affiliated with Caledonia US, LP and Caledonia (Private)</w:t>
      </w:r>
    </w:p>
    <w:p>
      <w:pPr>
        <w:ind w:left="120"/>
        <w:spacing w:after="0" w:line="234" w:lineRule="auto"/>
        <w:rPr>
          <w:sz w:val="20"/>
          <w:szCs w:val="20"/>
          <w:color w:val="auto"/>
        </w:rPr>
      </w:pPr>
      <w:r>
        <w:rPr>
          <w:rFonts w:ascii="Arial" w:cs="Arial" w:eastAsia="Arial" w:hAnsi="Arial"/>
          <w:sz w:val="18"/>
          <w:szCs w:val="18"/>
          <w:color w:val="auto"/>
        </w:rPr>
        <w:t>Investments Pty Limited, or collectively, the cornerstone investor, have indicated an interest in purchasing an aggregate of up to</w:t>
      </w:r>
    </w:p>
    <w:p>
      <w:pPr>
        <w:ind w:left="120"/>
        <w:spacing w:after="0" w:line="235" w:lineRule="auto"/>
        <w:rPr>
          <w:sz w:val="20"/>
          <w:szCs w:val="20"/>
          <w:color w:val="auto"/>
        </w:rPr>
      </w:pPr>
      <w:r>
        <w:rPr>
          <w:rFonts w:ascii="Arial" w:cs="Arial" w:eastAsia="Arial" w:hAnsi="Arial"/>
          <w:sz w:val="18"/>
          <w:szCs w:val="18"/>
          <w:color w:val="auto"/>
        </w:rPr>
        <w:t>$75.0 million in shares of our common stock offered in this offering at the initial public offering price. Because this indication of interest is</w:t>
      </w:r>
    </w:p>
    <w:p>
      <w:pPr>
        <w:ind w:left="120"/>
        <w:spacing w:after="0" w:line="235" w:lineRule="auto"/>
        <w:rPr>
          <w:sz w:val="20"/>
          <w:szCs w:val="20"/>
          <w:color w:val="auto"/>
        </w:rPr>
      </w:pPr>
      <w:r>
        <w:rPr>
          <w:rFonts w:ascii="Arial" w:cs="Arial" w:eastAsia="Arial" w:hAnsi="Arial"/>
          <w:sz w:val="18"/>
          <w:szCs w:val="18"/>
          <w:color w:val="auto"/>
        </w:rPr>
        <w:t>not a binding agreement or commitment to purchase, the cornerstone investor could determine to purchase more, less, or no shares in</w:t>
      </w:r>
    </w:p>
    <w:p>
      <w:pPr>
        <w:ind w:left="120"/>
        <w:spacing w:after="0" w:line="235" w:lineRule="auto"/>
        <w:rPr>
          <w:sz w:val="20"/>
          <w:szCs w:val="20"/>
          <w:color w:val="auto"/>
        </w:rPr>
      </w:pPr>
      <w:r>
        <w:rPr>
          <w:rFonts w:ascii="Arial" w:cs="Arial" w:eastAsia="Arial" w:hAnsi="Arial"/>
          <w:sz w:val="18"/>
          <w:szCs w:val="18"/>
          <w:color w:val="auto"/>
        </w:rPr>
        <w:t>this offering or the underwriters could determine to sell more, less, or no shares to the cornerstone investor. The underwriters will receive</w:t>
      </w:r>
    </w:p>
    <w:p>
      <w:pPr>
        <w:ind w:left="120"/>
        <w:spacing w:after="0" w:line="235" w:lineRule="auto"/>
        <w:rPr>
          <w:sz w:val="20"/>
          <w:szCs w:val="20"/>
          <w:color w:val="auto"/>
        </w:rPr>
      </w:pPr>
      <w:r>
        <w:rPr>
          <w:rFonts w:ascii="Arial" w:cs="Arial" w:eastAsia="Arial" w:hAnsi="Arial"/>
          <w:sz w:val="18"/>
          <w:szCs w:val="18"/>
          <w:color w:val="auto"/>
        </w:rPr>
        <w:t>the same discount on any shares of common stock purchased by the cornerstone investor as they will from any other shares sold to the</w:t>
      </w:r>
    </w:p>
    <w:p>
      <w:pPr>
        <w:ind w:left="120"/>
        <w:spacing w:after="0"/>
        <w:rPr>
          <w:sz w:val="20"/>
          <w:szCs w:val="20"/>
          <w:color w:val="auto"/>
        </w:rPr>
      </w:pPr>
      <w:r>
        <w:rPr>
          <w:rFonts w:ascii="Arial" w:cs="Arial" w:eastAsia="Arial" w:hAnsi="Arial"/>
          <w:sz w:val="18"/>
          <w:szCs w:val="18"/>
          <w:color w:val="auto"/>
        </w:rPr>
        <w:t>public in this offering.</w:t>
      </w:r>
    </w:p>
    <w:p>
      <w:pPr>
        <w:spacing w:after="0" w:line="21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67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2"/>
          </w:tcPr>
          <w:p>
            <w:pPr>
              <w:ind w:left="1320"/>
              <w:spacing w:after="0"/>
              <w:rPr>
                <w:sz w:val="20"/>
                <w:szCs w:val="20"/>
                <w:color w:val="auto"/>
              </w:rPr>
            </w:pPr>
            <w:r>
              <w:rPr>
                <w:rFonts w:ascii="Arial" w:cs="Arial" w:eastAsia="Arial" w:hAnsi="Arial"/>
                <w:sz w:val="14"/>
                <w:szCs w:val="14"/>
                <w:b w:val="1"/>
                <w:bCs w:val="1"/>
                <w:color w:val="auto"/>
              </w:rPr>
              <w:t>Per share</w:t>
            </w:r>
          </w:p>
        </w:tc>
        <w:tc>
          <w:tcPr>
            <w:tcW w:w="7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6"/>
        </w:trPr>
        <w:tc>
          <w:tcPr>
            <w:tcW w:w="6700" w:type="dxa"/>
            <w:vAlign w:val="bottom"/>
            <w:tcBorders>
              <w:bottom w:val="single" w:sz="8" w:color="DDDDDD"/>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DDDDDD"/>
          </w:tcPr>
          <w:p>
            <w:pPr>
              <w:spacing w:after="0"/>
              <w:rPr>
                <w:sz w:val="20"/>
                <w:szCs w:val="20"/>
                <w:color w:val="auto"/>
              </w:rPr>
            </w:pPr>
            <w:r>
              <w:rPr>
                <w:rFonts w:ascii="Arial" w:cs="Arial" w:eastAsia="Arial" w:hAnsi="Arial"/>
                <w:sz w:val="14"/>
                <w:szCs w:val="14"/>
                <w:color w:val="auto"/>
              </w:rPr>
              <w:t>Initial public offering price</w:t>
            </w:r>
          </w:p>
        </w:tc>
        <w:tc>
          <w:tcPr>
            <w:tcW w:w="1480" w:type="dxa"/>
            <w:vAlign w:val="bottom"/>
            <w:shd w:val="clear" w:color="auto" w:fill="DDDDDD"/>
          </w:tcPr>
          <w:p>
            <w:pPr>
              <w:ind w:left="13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DDDDDD"/>
          </w:tcPr>
          <w:p>
            <w:pPr>
              <w:jc w:val="right"/>
              <w:ind w:right="588"/>
              <w:spacing w:after="0"/>
              <w:rPr>
                <w:sz w:val="20"/>
                <w:szCs w:val="20"/>
                <w:color w:val="auto"/>
              </w:rPr>
            </w:pPr>
            <w:r>
              <w:rPr>
                <w:rFonts w:ascii="Arial" w:cs="Arial" w:eastAsia="Arial" w:hAnsi="Arial"/>
                <w:sz w:val="14"/>
                <w:szCs w:val="14"/>
                <w:color w:val="auto"/>
              </w:rPr>
              <w:t>29.000</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420,500,000</w:t>
            </w:r>
          </w:p>
        </w:tc>
      </w:tr>
      <w:tr>
        <w:trPr>
          <w:trHeight w:val="216"/>
        </w:trPr>
        <w:tc>
          <w:tcPr>
            <w:tcW w:w="6700" w:type="dxa"/>
            <w:vAlign w:val="bottom"/>
          </w:tcPr>
          <w:p>
            <w:pPr>
              <w:spacing w:after="0" w:line="216"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4"/>
                <w:szCs w:val="24"/>
                <w:color w:val="auto"/>
                <w:vertAlign w:val="superscript"/>
              </w:rPr>
              <w:t>(1)</w:t>
            </w:r>
          </w:p>
        </w:tc>
        <w:tc>
          <w:tcPr>
            <w:tcW w:w="1480" w:type="dxa"/>
            <w:vAlign w:val="bottom"/>
          </w:tcPr>
          <w:p>
            <w:pPr>
              <w:ind w:left="13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88"/>
              <w:spacing w:after="0"/>
              <w:rPr>
                <w:sz w:val="20"/>
                <w:szCs w:val="20"/>
                <w:color w:val="auto"/>
              </w:rPr>
            </w:pPr>
            <w:r>
              <w:rPr>
                <w:rFonts w:ascii="Arial" w:cs="Arial" w:eastAsia="Arial" w:hAnsi="Arial"/>
                <w:sz w:val="14"/>
                <w:szCs w:val="14"/>
                <w:color w:val="auto"/>
              </w:rPr>
              <w:t>1.595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23,127,500</w:t>
            </w:r>
          </w:p>
        </w:tc>
      </w:tr>
      <w:tr>
        <w:trPr>
          <w:trHeight w:val="223"/>
        </w:trPr>
        <w:tc>
          <w:tcPr>
            <w:tcW w:w="67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Proceeds to Udemy, Inc., before expenses</w:t>
            </w:r>
          </w:p>
        </w:tc>
        <w:tc>
          <w:tcPr>
            <w:tcW w:w="1480" w:type="dxa"/>
            <w:vAlign w:val="bottom"/>
            <w:tcBorders>
              <w:bottom w:val="single" w:sz="8" w:color="DDDDDD"/>
            </w:tcBorders>
            <w:shd w:val="clear" w:color="auto" w:fill="DDDDDD"/>
          </w:tcPr>
          <w:p>
            <w:pPr>
              <w:ind w:left="13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DDDDD"/>
            </w:tcBorders>
            <w:shd w:val="clear" w:color="auto" w:fill="DDDDDD"/>
          </w:tcPr>
          <w:p>
            <w:pPr>
              <w:jc w:val="right"/>
              <w:ind w:right="588"/>
              <w:spacing w:after="0"/>
              <w:rPr>
                <w:sz w:val="20"/>
                <w:szCs w:val="20"/>
                <w:color w:val="auto"/>
              </w:rPr>
            </w:pPr>
            <w:r>
              <w:rPr>
                <w:rFonts w:ascii="Arial" w:cs="Arial" w:eastAsia="Arial" w:hAnsi="Arial"/>
                <w:sz w:val="14"/>
                <w:szCs w:val="14"/>
                <w:color w:val="auto"/>
              </w:rPr>
              <w:t>27.405</w:t>
            </w:r>
          </w:p>
        </w:tc>
        <w:tc>
          <w:tcPr>
            <w:tcW w:w="7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397,372,500</w:t>
            </w:r>
          </w:p>
        </w:tc>
      </w:tr>
      <w:tr>
        <w:trPr>
          <w:trHeight w:val="20"/>
        </w:trPr>
        <w:tc>
          <w:tcPr>
            <w:tcW w:w="6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42"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“Underwriters” for a description of the compensation payable to the underwriters.</w:t>
      </w:r>
    </w:p>
    <w:p>
      <w:pPr>
        <w:spacing w:after="0" w:line="215" w:lineRule="exact"/>
        <w:rPr>
          <w:sz w:val="24"/>
          <w:szCs w:val="24"/>
          <w:color w:val="auto"/>
        </w:rPr>
      </w:pPr>
    </w:p>
    <w:p>
      <w:pPr>
        <w:ind w:left="120" w:right="160"/>
        <w:spacing w:after="0"/>
        <w:rPr>
          <w:sz w:val="20"/>
          <w:szCs w:val="20"/>
          <w:color w:val="auto"/>
        </w:rPr>
      </w:pPr>
      <w:r>
        <w:rPr>
          <w:rFonts w:ascii="Arial" w:cs="Arial" w:eastAsia="Arial" w:hAnsi="Arial"/>
          <w:sz w:val="18"/>
          <w:szCs w:val="18"/>
          <w:color w:val="auto"/>
        </w:rPr>
        <w:t>At our request, the underwriters have reserved up to 725,000 shares of common stock, or up to 5% of the shares offered by this prospectus for sale, at the initial public offering price through a directed share program to eligible instructors on our platform in the United States and selected international jurisdictions. See “Underwriters—Directed share program.”</w:t>
      </w:r>
    </w:p>
    <w:p>
      <w:pPr>
        <w:spacing w:after="0" w:line="20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have granted the underwriters an option for a period of 30 days to purchase up to 2,175,000 additional shares of common stock.</w:t>
      </w:r>
    </w:p>
    <w:p>
      <w:pPr>
        <w:spacing w:after="0" w:line="190" w:lineRule="exact"/>
        <w:rPr>
          <w:sz w:val="24"/>
          <w:szCs w:val="24"/>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2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16.</w:t>
      </w:r>
    </w:p>
    <w:p>
      <w:pPr>
        <w:spacing w:after="0" w:line="212" w:lineRule="exact"/>
        <w:rPr>
          <w:sz w:val="24"/>
          <w:szCs w:val="24"/>
          <w:color w:val="auto"/>
        </w:rPr>
      </w:pPr>
    </w:p>
    <w:p>
      <w:pPr>
        <w:jc w:val="both"/>
        <w:ind w:left="120" w:right="260"/>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9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to purchasers on or about November 2, 2021.</w:t>
      </w:r>
    </w:p>
    <w:p>
      <w:pPr>
        <w:spacing w:after="0" w:line="207" w:lineRule="exact"/>
        <w:rPr>
          <w:sz w:val="24"/>
          <w:szCs w:val="24"/>
          <w:color w:val="auto"/>
        </w:rPr>
      </w:pPr>
    </w:p>
    <w:tbl>
      <w:tblPr>
        <w:tblLayout w:type="fixed"/>
        <w:tblInd w:w="120" w:type="dxa"/>
        <w:tblCellMar>
          <w:top w:w="0" w:type="dxa"/>
          <w:left w:w="0" w:type="dxa"/>
          <w:bottom w:w="0" w:type="dxa"/>
          <w:right w:w="0" w:type="dxa"/>
        </w:tblCellMar>
      </w:tblPr>
      <w:tr>
        <w:trPr>
          <w:trHeight w:val="285"/>
        </w:trPr>
        <w:tc>
          <w:tcPr>
            <w:tcW w:w="1820" w:type="dxa"/>
            <w:vAlign w:val="bottom"/>
          </w:tcPr>
          <w:p>
            <w:pPr>
              <w:spacing w:after="0"/>
              <w:rPr>
                <w:sz w:val="24"/>
                <w:szCs w:val="24"/>
                <w:color w:val="auto"/>
              </w:rPr>
            </w:pPr>
          </w:p>
        </w:tc>
        <w:tc>
          <w:tcPr>
            <w:tcW w:w="3260" w:type="dxa"/>
            <w:vAlign w:val="bottom"/>
          </w:tcPr>
          <w:p>
            <w:pPr>
              <w:ind w:left="160"/>
              <w:spacing w:after="0"/>
              <w:rPr>
                <w:sz w:val="20"/>
                <w:szCs w:val="20"/>
                <w:color w:val="auto"/>
              </w:rPr>
            </w:pPr>
            <w:r>
              <w:rPr>
                <w:rFonts w:ascii="Arial" w:cs="Arial" w:eastAsia="Arial" w:hAnsi="Arial"/>
                <w:sz w:val="22"/>
                <w:szCs w:val="22"/>
                <w:b w:val="1"/>
                <w:bCs w:val="1"/>
                <w:color w:val="auto"/>
              </w:rPr>
              <w:t>Morgan Stanley</w:t>
            </w:r>
          </w:p>
        </w:tc>
        <w:tc>
          <w:tcPr>
            <w:tcW w:w="2400" w:type="dxa"/>
            <w:vAlign w:val="bottom"/>
          </w:tcPr>
          <w:p>
            <w:pPr>
              <w:spacing w:after="0"/>
              <w:rPr>
                <w:sz w:val="24"/>
                <w:szCs w:val="24"/>
                <w:color w:val="auto"/>
              </w:rPr>
            </w:pPr>
          </w:p>
        </w:tc>
        <w:tc>
          <w:tcPr>
            <w:tcW w:w="1520" w:type="dxa"/>
            <w:vAlign w:val="bottom"/>
          </w:tcPr>
          <w:p>
            <w:pPr>
              <w:ind w:left="260"/>
              <w:spacing w:after="0"/>
              <w:rPr>
                <w:sz w:val="20"/>
                <w:szCs w:val="20"/>
                <w:color w:val="auto"/>
              </w:rPr>
            </w:pPr>
            <w:r>
              <w:rPr>
                <w:rFonts w:ascii="Arial" w:cs="Arial" w:eastAsia="Arial" w:hAnsi="Arial"/>
                <w:sz w:val="22"/>
                <w:szCs w:val="22"/>
                <w:b w:val="1"/>
                <w:bCs w:val="1"/>
                <w:color w:val="auto"/>
                <w:w w:val="99"/>
              </w:rPr>
              <w:t>J.P. Morgan</w:t>
            </w:r>
          </w:p>
        </w:tc>
        <w:tc>
          <w:tcPr>
            <w:tcW w:w="2020" w:type="dxa"/>
            <w:vAlign w:val="bottom"/>
          </w:tcPr>
          <w:p>
            <w:pPr>
              <w:spacing w:after="0"/>
              <w:rPr>
                <w:sz w:val="24"/>
                <w:szCs w:val="24"/>
                <w:color w:val="auto"/>
              </w:rPr>
            </w:pPr>
          </w:p>
        </w:tc>
      </w:tr>
      <w:tr>
        <w:trPr>
          <w:trHeight w:val="260"/>
        </w:trPr>
        <w:tc>
          <w:tcPr>
            <w:tcW w:w="1820" w:type="dxa"/>
            <w:vAlign w:val="bottom"/>
          </w:tcPr>
          <w:p>
            <w:pPr>
              <w:ind w:left="960"/>
              <w:spacing w:after="0"/>
              <w:rPr>
                <w:sz w:val="20"/>
                <w:szCs w:val="20"/>
                <w:color w:val="auto"/>
              </w:rPr>
            </w:pPr>
            <w:r>
              <w:rPr>
                <w:rFonts w:ascii="Arial" w:cs="Arial" w:eastAsia="Arial" w:hAnsi="Arial"/>
                <w:sz w:val="18"/>
                <w:szCs w:val="18"/>
                <w:color w:val="auto"/>
              </w:rPr>
              <w:t>Citigroup</w:t>
            </w:r>
          </w:p>
        </w:tc>
        <w:tc>
          <w:tcPr>
            <w:tcW w:w="3260" w:type="dxa"/>
            <w:vAlign w:val="bottom"/>
          </w:tcPr>
          <w:p>
            <w:pPr>
              <w:ind w:left="1660"/>
              <w:spacing w:after="0"/>
              <w:rPr>
                <w:sz w:val="20"/>
                <w:szCs w:val="20"/>
                <w:color w:val="auto"/>
              </w:rPr>
            </w:pPr>
            <w:r>
              <w:rPr>
                <w:rFonts w:ascii="Arial" w:cs="Arial" w:eastAsia="Arial" w:hAnsi="Arial"/>
                <w:sz w:val="18"/>
                <w:szCs w:val="18"/>
                <w:color w:val="auto"/>
              </w:rPr>
              <w:t>BofA Securities</w:t>
            </w:r>
          </w:p>
        </w:tc>
        <w:tc>
          <w:tcPr>
            <w:tcW w:w="2400" w:type="dxa"/>
            <w:vAlign w:val="bottom"/>
          </w:tcPr>
          <w:p>
            <w:pPr>
              <w:ind w:left="1480"/>
              <w:spacing w:after="0"/>
              <w:rPr>
                <w:sz w:val="20"/>
                <w:szCs w:val="20"/>
                <w:color w:val="auto"/>
              </w:rPr>
            </w:pPr>
            <w:r>
              <w:rPr>
                <w:rFonts w:ascii="Arial" w:cs="Arial" w:eastAsia="Arial" w:hAnsi="Arial"/>
                <w:sz w:val="18"/>
                <w:szCs w:val="18"/>
                <w:color w:val="auto"/>
              </w:rPr>
              <w:t>Jefferies</w:t>
            </w:r>
          </w:p>
        </w:tc>
        <w:tc>
          <w:tcPr>
            <w:tcW w:w="1520" w:type="dxa"/>
            <w:vAlign w:val="bottom"/>
          </w:tcPr>
          <w:p>
            <w:pPr>
              <w:spacing w:after="0"/>
              <w:rPr>
                <w:sz w:val="22"/>
                <w:szCs w:val="22"/>
                <w:color w:val="auto"/>
              </w:rPr>
            </w:pPr>
          </w:p>
        </w:tc>
        <w:tc>
          <w:tcPr>
            <w:tcW w:w="2020" w:type="dxa"/>
            <w:vAlign w:val="bottom"/>
          </w:tcPr>
          <w:p>
            <w:pPr>
              <w:ind w:left="60"/>
              <w:spacing w:after="0"/>
              <w:rPr>
                <w:sz w:val="20"/>
                <w:szCs w:val="20"/>
                <w:color w:val="auto"/>
              </w:rPr>
            </w:pPr>
            <w:r>
              <w:rPr>
                <w:rFonts w:ascii="Arial" w:cs="Arial" w:eastAsia="Arial" w:hAnsi="Arial"/>
                <w:sz w:val="18"/>
                <w:szCs w:val="18"/>
                <w:color w:val="auto"/>
              </w:rPr>
              <w:t>Truist Securities</w:t>
            </w:r>
          </w:p>
        </w:tc>
      </w:tr>
      <w:tr>
        <w:trPr>
          <w:trHeight w:val="272"/>
        </w:trPr>
        <w:tc>
          <w:tcPr>
            <w:tcW w:w="1820" w:type="dxa"/>
            <w:vAlign w:val="bottom"/>
          </w:tcPr>
          <w:p>
            <w:pPr>
              <w:spacing w:after="0"/>
              <w:rPr>
                <w:sz w:val="20"/>
                <w:szCs w:val="20"/>
                <w:color w:val="auto"/>
              </w:rPr>
            </w:pPr>
            <w:r>
              <w:rPr>
                <w:rFonts w:ascii="Arial" w:cs="Arial" w:eastAsia="Arial" w:hAnsi="Arial"/>
                <w:sz w:val="14"/>
                <w:szCs w:val="14"/>
                <w:color w:val="auto"/>
              </w:rPr>
              <w:t>KeyBanc Capital Markets</w:t>
            </w:r>
          </w:p>
        </w:tc>
        <w:tc>
          <w:tcPr>
            <w:tcW w:w="3260" w:type="dxa"/>
            <w:vAlign w:val="bottom"/>
          </w:tcPr>
          <w:p>
            <w:pPr>
              <w:ind w:left="1280"/>
              <w:spacing w:after="0"/>
              <w:rPr>
                <w:sz w:val="20"/>
                <w:szCs w:val="20"/>
                <w:color w:val="auto"/>
              </w:rPr>
            </w:pPr>
            <w:r>
              <w:rPr>
                <w:rFonts w:ascii="Arial" w:cs="Arial" w:eastAsia="Arial" w:hAnsi="Arial"/>
                <w:sz w:val="14"/>
                <w:szCs w:val="14"/>
                <w:color w:val="auto"/>
              </w:rPr>
              <w:t>Piper Sandler</w:t>
            </w:r>
          </w:p>
        </w:tc>
        <w:tc>
          <w:tcPr>
            <w:tcW w:w="2400" w:type="dxa"/>
            <w:vAlign w:val="bottom"/>
          </w:tcPr>
          <w:p>
            <w:pPr>
              <w:ind w:left="380"/>
              <w:spacing w:after="0"/>
              <w:rPr>
                <w:sz w:val="20"/>
                <w:szCs w:val="20"/>
                <w:color w:val="auto"/>
              </w:rPr>
            </w:pPr>
            <w:r>
              <w:rPr>
                <w:rFonts w:ascii="Arial" w:cs="Arial" w:eastAsia="Arial" w:hAnsi="Arial"/>
                <w:sz w:val="14"/>
                <w:szCs w:val="14"/>
                <w:color w:val="auto"/>
              </w:rPr>
              <w:t>William Blair</w:t>
            </w:r>
          </w:p>
        </w:tc>
        <w:tc>
          <w:tcPr>
            <w:tcW w:w="1520" w:type="dxa"/>
            <w:vAlign w:val="bottom"/>
          </w:tcPr>
          <w:p>
            <w:pPr>
              <w:ind w:left="280"/>
              <w:spacing w:after="0"/>
              <w:rPr>
                <w:sz w:val="20"/>
                <w:szCs w:val="20"/>
                <w:color w:val="auto"/>
              </w:rPr>
            </w:pPr>
            <w:r>
              <w:rPr>
                <w:rFonts w:ascii="Arial" w:cs="Arial" w:eastAsia="Arial" w:hAnsi="Arial"/>
                <w:sz w:val="14"/>
                <w:szCs w:val="14"/>
                <w:color w:val="auto"/>
              </w:rPr>
              <w:t>Baird</w:t>
            </w:r>
          </w:p>
        </w:tc>
        <w:tc>
          <w:tcPr>
            <w:tcW w:w="2020" w:type="dxa"/>
            <w:vAlign w:val="bottom"/>
          </w:tcPr>
          <w:p>
            <w:pPr>
              <w:ind w:left="600"/>
              <w:spacing w:after="0"/>
              <w:rPr>
                <w:sz w:val="20"/>
                <w:szCs w:val="20"/>
                <w:color w:val="auto"/>
              </w:rPr>
            </w:pPr>
            <w:r>
              <w:rPr>
                <w:rFonts w:ascii="Arial" w:cs="Arial" w:eastAsia="Arial" w:hAnsi="Arial"/>
                <w:sz w:val="14"/>
                <w:szCs w:val="14"/>
                <w:color w:val="auto"/>
              </w:rPr>
              <w:t>Needham &amp; Company</w:t>
            </w:r>
          </w:p>
        </w:tc>
      </w:tr>
      <w:tr>
        <w:trPr>
          <w:trHeight w:val="52"/>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387"/>
        </w:trPr>
        <w:tc>
          <w:tcPr>
            <w:tcW w:w="1820" w:type="dxa"/>
            <w:vAlign w:val="bottom"/>
          </w:tcPr>
          <w:p>
            <w:pPr>
              <w:spacing w:after="0"/>
              <w:rPr>
                <w:sz w:val="20"/>
                <w:szCs w:val="20"/>
                <w:color w:val="auto"/>
              </w:rPr>
            </w:pPr>
            <w:r>
              <w:rPr>
                <w:rFonts w:ascii="Arial" w:cs="Arial" w:eastAsia="Arial" w:hAnsi="Arial"/>
                <w:sz w:val="14"/>
                <w:szCs w:val="14"/>
                <w:color w:val="auto"/>
              </w:rPr>
              <w:t>October 28, 2021</w:t>
            </w:r>
          </w:p>
        </w:tc>
        <w:tc>
          <w:tcPr>
            <w:tcW w:w="3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Table of contents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80" w:type="dxa"/>
            <w:vAlign w:val="bottom"/>
          </w:tcPr>
          <w:p>
            <w:pPr>
              <w:jc w:val="right"/>
              <w:ind w:right="88"/>
              <w:spacing w:after="0"/>
              <w:rPr>
                <w:sz w:val="20"/>
                <w:szCs w:val="20"/>
                <w:color w:val="auto"/>
              </w:rPr>
            </w:pPr>
            <w:r>
              <w:rPr>
                <w:rFonts w:ascii="Arial" w:cs="Arial" w:eastAsia="Arial" w:hAnsi="Arial"/>
                <w:sz w:val="13"/>
                <w:szCs w:val="13"/>
                <w:b w:val="1"/>
                <w:bCs w:val="1"/>
                <w:color w:val="auto"/>
              </w:rPr>
              <w:t>Page</w:t>
            </w:r>
          </w:p>
        </w:tc>
      </w:tr>
      <w:tr>
        <w:trPr>
          <w:trHeight w:val="203"/>
        </w:trPr>
        <w:tc>
          <w:tcPr>
            <w:tcW w:w="8100" w:type="dxa"/>
            <w:vAlign w:val="bottom"/>
            <w:gridSpan w:val="23"/>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Prospectus summary</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1340" w:type="dxa"/>
            <w:vAlign w:val="bottom"/>
            <w:tcBorders>
              <w:top w:val="single" w:sz="8" w:color="0000EE"/>
            </w:tcBorders>
            <w:gridSpan w:val="9"/>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Risk factors</w:t>
              </w:r>
            </w:hyperlink>
          </w:p>
        </w:tc>
        <w:tc>
          <w:tcPr>
            <w:tcW w:w="6760" w:type="dxa"/>
            <w:vAlign w:val="bottom"/>
            <w:gridSpan w:val="14"/>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9"/>
        </w:trPr>
        <w:tc>
          <w:tcPr>
            <w:tcW w:w="8100" w:type="dxa"/>
            <w:vAlign w:val="bottom"/>
            <w:gridSpan w:val="23"/>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Special note regarding forward-looking statements</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10"/>
        </w:trPr>
        <w:tc>
          <w:tcPr>
            <w:tcW w:w="2020" w:type="dxa"/>
            <w:vAlign w:val="bottom"/>
            <w:tcBorders>
              <w:top w:val="single" w:sz="8" w:color="0000EE"/>
              <w:bottom w:val="single" w:sz="8" w:color="0000EE"/>
            </w:tcBorders>
            <w:gridSpan w:val="15"/>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Market, industry, and other data</w:t>
              </w:r>
            </w:hyperlink>
          </w:p>
        </w:tc>
        <w:tc>
          <w:tcPr>
            <w:tcW w:w="1180" w:type="dxa"/>
            <w:vAlign w:val="bottom"/>
            <w:tcBorders>
              <w:top w:val="single" w:sz="8" w:color="0000EE"/>
            </w:tcBorders>
            <w:gridSpan w:val="4"/>
          </w:tcPr>
          <w:p>
            <w:pPr>
              <w:spacing w:after="0"/>
              <w:rPr>
                <w:sz w:val="18"/>
                <w:szCs w:val="18"/>
                <w:color w:val="auto"/>
              </w:rPr>
            </w:pPr>
          </w:p>
        </w:tc>
        <w:tc>
          <w:tcPr>
            <w:tcW w:w="4900" w:type="dxa"/>
            <w:vAlign w:val="bottom"/>
            <w:gridSpan w:val="4"/>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9"/>
        </w:trPr>
        <w:tc>
          <w:tcPr>
            <w:tcW w:w="8100" w:type="dxa"/>
            <w:vAlign w:val="bottom"/>
            <w:gridSpan w:val="23"/>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Use of proceeds</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9"/>
        </w:trPr>
        <w:tc>
          <w:tcPr>
            <w:tcW w:w="1040" w:type="dxa"/>
            <w:vAlign w:val="bottom"/>
            <w:tcBorders>
              <w:top w:val="single" w:sz="8" w:color="0000EE"/>
            </w:tcBorders>
            <w:gridSpan w:val="8"/>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Dividend policy</w:t>
              </w:r>
            </w:hyperlink>
          </w:p>
        </w:tc>
        <w:tc>
          <w:tcPr>
            <w:tcW w:w="7060" w:type="dxa"/>
            <w:vAlign w:val="bottom"/>
            <w:gridSpan w:val="15"/>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86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9"/>
              </w:rPr>
            </w:pPr>
            <w:hyperlink w:anchor="page62">
              <w:r>
                <w:rPr>
                  <w:rFonts w:ascii="Arial" w:cs="Arial" w:eastAsia="Arial" w:hAnsi="Arial"/>
                  <w:sz w:val="14"/>
                  <w:szCs w:val="14"/>
                  <w:color w:val="0000EE"/>
                  <w:w w:val="99"/>
                </w:rPr>
                <w:t>Capitalization</w:t>
              </w:r>
            </w:hyperlink>
          </w:p>
        </w:tc>
        <w:tc>
          <w:tcPr>
            <w:tcW w:w="100" w:type="dxa"/>
            <w:vAlign w:val="bottom"/>
            <w:tcBorders>
              <w:top w:val="single" w:sz="8" w:color="0000EE"/>
            </w:tcBorders>
          </w:tcPr>
          <w:p>
            <w:pPr>
              <w:spacing w:after="0"/>
              <w:rPr>
                <w:sz w:val="18"/>
                <w:szCs w:val="18"/>
                <w:color w:val="auto"/>
              </w:rPr>
            </w:pPr>
          </w:p>
        </w:tc>
        <w:tc>
          <w:tcPr>
            <w:tcW w:w="7140" w:type="dxa"/>
            <w:vAlign w:val="bottom"/>
            <w:gridSpan w:val="16"/>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9"/>
        </w:trPr>
        <w:tc>
          <w:tcPr>
            <w:tcW w:w="480" w:type="dxa"/>
            <w:vAlign w:val="bottom"/>
            <w:tcBorders>
              <w:bottom w:val="single" w:sz="8" w:color="0000EE"/>
            </w:tcBorders>
          </w:tcPr>
          <w:p>
            <w:pPr>
              <w:spacing w:after="0"/>
              <w:rPr>
                <w:rFonts w:ascii="Arial" w:cs="Arial" w:eastAsia="Arial" w:hAnsi="Arial"/>
                <w:sz w:val="14"/>
                <w:szCs w:val="14"/>
                <w:color w:val="0000EE"/>
                <w:w w:val="98"/>
              </w:rPr>
            </w:pPr>
            <w:hyperlink w:anchor="page64">
              <w:r>
                <w:rPr>
                  <w:rFonts w:ascii="Arial" w:cs="Arial" w:eastAsia="Arial" w:hAnsi="Arial"/>
                  <w:sz w:val="14"/>
                  <w:szCs w:val="14"/>
                  <w:color w:val="0000EE"/>
                  <w:w w:val="98"/>
                </w:rPr>
                <w:t>Dilution</w:t>
              </w:r>
            </w:hyperlink>
          </w:p>
        </w:tc>
        <w:tc>
          <w:tcPr>
            <w:tcW w:w="7620" w:type="dxa"/>
            <w:vAlign w:val="bottom"/>
            <w:gridSpan w:val="22"/>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10"/>
        </w:trPr>
        <w:tc>
          <w:tcPr>
            <w:tcW w:w="2940" w:type="dxa"/>
            <w:vAlign w:val="bottom"/>
            <w:tcBorders>
              <w:bottom w:val="single" w:sz="8" w:color="0000EE"/>
            </w:tcBorders>
            <w:gridSpan w:val="18"/>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Selected consolidated financial and other data</w:t>
              </w:r>
            </w:hyperlink>
          </w:p>
        </w:tc>
        <w:tc>
          <w:tcPr>
            <w:tcW w:w="5160" w:type="dxa"/>
            <w:vAlign w:val="bottom"/>
            <w:gridSpan w:val="5"/>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9"/>
        </w:trPr>
        <w:tc>
          <w:tcPr>
            <w:tcW w:w="8100" w:type="dxa"/>
            <w:vAlign w:val="bottom"/>
            <w:gridSpan w:val="23"/>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Management’s discussion and analysis of financial condition and results of operations</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9"/>
        </w:trPr>
        <w:tc>
          <w:tcPr>
            <w:tcW w:w="5440" w:type="dxa"/>
            <w:vAlign w:val="bottom"/>
            <w:tcBorders>
              <w:top w:val="single" w:sz="8" w:color="0000EE"/>
            </w:tcBorders>
            <w:gridSpan w:val="21"/>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Letter from Eren Bali, Co-Founder</w:t>
              </w:r>
            </w:hyperlink>
          </w:p>
        </w:tc>
        <w:tc>
          <w:tcPr>
            <w:tcW w:w="2660" w:type="dxa"/>
            <w:vAlign w:val="bottom"/>
            <w:gridSpan w:val="2"/>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10"/>
        </w:trPr>
        <w:tc>
          <w:tcPr>
            <w:tcW w:w="58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8"/>
              </w:rPr>
            </w:pPr>
            <w:hyperlink w:anchor="page109">
              <w:r>
                <w:rPr>
                  <w:rFonts w:ascii="Arial" w:cs="Arial" w:eastAsia="Arial" w:hAnsi="Arial"/>
                  <w:sz w:val="14"/>
                  <w:szCs w:val="14"/>
                  <w:color w:val="0000EE"/>
                  <w:w w:val="98"/>
                </w:rPr>
                <w:t>Business</w:t>
              </w:r>
            </w:hyperlink>
          </w:p>
        </w:tc>
        <w:tc>
          <w:tcPr>
            <w:tcW w:w="1580" w:type="dxa"/>
            <w:vAlign w:val="bottom"/>
            <w:tcBorders>
              <w:top w:val="single" w:sz="8" w:color="0000EE"/>
            </w:tcBorders>
            <w:gridSpan w:val="14"/>
          </w:tcPr>
          <w:p>
            <w:pPr>
              <w:spacing w:after="0"/>
              <w:rPr>
                <w:sz w:val="18"/>
                <w:szCs w:val="18"/>
                <w:color w:val="auto"/>
              </w:rPr>
            </w:pPr>
          </w:p>
        </w:tc>
        <w:tc>
          <w:tcPr>
            <w:tcW w:w="5940" w:type="dxa"/>
            <w:vAlign w:val="bottom"/>
            <w:gridSpan w:val="7"/>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9"/>
        </w:trPr>
        <w:tc>
          <w:tcPr>
            <w:tcW w:w="840" w:type="dxa"/>
            <w:vAlign w:val="bottom"/>
            <w:tcBorders>
              <w:bottom w:val="single" w:sz="8" w:color="0000EE"/>
            </w:tcBorders>
            <w:gridSpan w:val="5"/>
          </w:tcPr>
          <w:p>
            <w:pPr>
              <w:spacing w:after="0"/>
              <w:rPr>
                <w:rFonts w:ascii="Arial" w:cs="Arial" w:eastAsia="Arial" w:hAnsi="Arial"/>
                <w:sz w:val="14"/>
                <w:szCs w:val="14"/>
                <w:color w:val="0000EE"/>
              </w:rPr>
            </w:pPr>
            <w:hyperlink w:anchor="page123">
              <w:r>
                <w:rPr>
                  <w:rFonts w:ascii="Arial" w:cs="Arial" w:eastAsia="Arial" w:hAnsi="Arial"/>
                  <w:sz w:val="14"/>
                  <w:szCs w:val="14"/>
                  <w:color w:val="0000EE"/>
                </w:rPr>
                <w:t>Management</w:t>
              </w:r>
            </w:hyperlink>
          </w:p>
        </w:tc>
        <w:tc>
          <w:tcPr>
            <w:tcW w:w="7260" w:type="dxa"/>
            <w:vAlign w:val="bottom"/>
            <w:gridSpan w:val="18"/>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9"/>
        </w:trPr>
        <w:tc>
          <w:tcPr>
            <w:tcW w:w="1560" w:type="dxa"/>
            <w:vAlign w:val="bottom"/>
            <w:tcBorders>
              <w:bottom w:val="single" w:sz="8" w:color="0000EE"/>
            </w:tcBorders>
            <w:gridSpan w:val="11"/>
          </w:tcPr>
          <w:p>
            <w:pPr>
              <w:spacing w:after="0"/>
              <w:rPr>
                <w:rFonts w:ascii="Arial" w:cs="Arial" w:eastAsia="Arial" w:hAnsi="Arial"/>
                <w:sz w:val="14"/>
                <w:szCs w:val="14"/>
                <w:color w:val="0000EE"/>
              </w:rPr>
            </w:pPr>
            <w:hyperlink w:anchor="page133">
              <w:r>
                <w:rPr>
                  <w:rFonts w:ascii="Arial" w:cs="Arial" w:eastAsia="Arial" w:hAnsi="Arial"/>
                  <w:sz w:val="14"/>
                  <w:szCs w:val="14"/>
                  <w:color w:val="0000EE"/>
                </w:rPr>
                <w:t>Executive compensation</w:t>
              </w:r>
            </w:hyperlink>
          </w:p>
        </w:tc>
        <w:tc>
          <w:tcPr>
            <w:tcW w:w="6540" w:type="dxa"/>
            <w:vAlign w:val="bottom"/>
            <w:gridSpan w:val="12"/>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10"/>
        </w:trPr>
        <w:tc>
          <w:tcPr>
            <w:tcW w:w="8100" w:type="dxa"/>
            <w:vAlign w:val="bottom"/>
            <w:gridSpan w:val="23"/>
          </w:tcPr>
          <w:p>
            <w:pPr>
              <w:spacing w:after="0"/>
              <w:rPr>
                <w:rFonts w:ascii="Arial" w:cs="Arial" w:eastAsia="Arial" w:hAnsi="Arial"/>
                <w:sz w:val="14"/>
                <w:szCs w:val="14"/>
                <w:color w:val="0000EE"/>
              </w:rPr>
            </w:pPr>
            <w:hyperlink w:anchor="page147">
              <w:r>
                <w:rPr>
                  <w:rFonts w:ascii="Arial" w:cs="Arial" w:eastAsia="Arial" w:hAnsi="Arial"/>
                  <w:sz w:val="14"/>
                  <w:szCs w:val="14"/>
                  <w:color w:val="0000EE"/>
                </w:rPr>
                <w:t>Certain relationships and related party transactions</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9"/>
        </w:trPr>
        <w:tc>
          <w:tcPr>
            <w:tcW w:w="140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w:anchor="page150">
              <w:r>
                <w:rPr>
                  <w:rFonts w:ascii="Arial" w:cs="Arial" w:eastAsia="Arial" w:hAnsi="Arial"/>
                  <w:sz w:val="14"/>
                  <w:szCs w:val="14"/>
                  <w:color w:val="0000EE"/>
                </w:rPr>
                <w:t>Principal stockholders</w:t>
              </w:r>
            </w:hyperlink>
          </w:p>
        </w:tc>
        <w:tc>
          <w:tcPr>
            <w:tcW w:w="1840" w:type="dxa"/>
            <w:vAlign w:val="bottom"/>
            <w:tcBorders>
              <w:top w:val="single" w:sz="8" w:color="0000EE"/>
            </w:tcBorders>
            <w:gridSpan w:val="10"/>
          </w:tcPr>
          <w:p>
            <w:pPr>
              <w:spacing w:after="0"/>
              <w:rPr>
                <w:sz w:val="18"/>
                <w:szCs w:val="18"/>
                <w:color w:val="auto"/>
              </w:rPr>
            </w:pPr>
          </w:p>
        </w:tc>
        <w:tc>
          <w:tcPr>
            <w:tcW w:w="4860" w:type="dxa"/>
            <w:vAlign w:val="bottom"/>
            <w:gridSpan w:val="3"/>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10"/>
        </w:trPr>
        <w:tc>
          <w:tcPr>
            <w:tcW w:w="8100" w:type="dxa"/>
            <w:vAlign w:val="bottom"/>
            <w:gridSpan w:val="23"/>
          </w:tcPr>
          <w:p>
            <w:pPr>
              <w:spacing w:after="0"/>
              <w:rPr>
                <w:rFonts w:ascii="Arial" w:cs="Arial" w:eastAsia="Arial" w:hAnsi="Arial"/>
                <w:sz w:val="14"/>
                <w:szCs w:val="14"/>
                <w:color w:val="0000EE"/>
              </w:rPr>
            </w:pPr>
            <w:hyperlink w:anchor="page152">
              <w:r>
                <w:rPr>
                  <w:rFonts w:ascii="Arial" w:cs="Arial" w:eastAsia="Arial" w:hAnsi="Arial"/>
                  <w:sz w:val="14"/>
                  <w:szCs w:val="14"/>
                  <w:color w:val="0000EE"/>
                </w:rPr>
                <w:t>Description of capital stock</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4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9"/>
        </w:trPr>
        <w:tc>
          <w:tcPr>
            <w:tcW w:w="1860" w:type="dxa"/>
            <w:vAlign w:val="bottom"/>
            <w:tcBorders>
              <w:bottom w:val="single" w:sz="8" w:color="0000EE"/>
            </w:tcBorders>
            <w:gridSpan w:val="14"/>
          </w:tcPr>
          <w:p>
            <w:pPr>
              <w:spacing w:after="0"/>
              <w:rPr>
                <w:rFonts w:ascii="Arial" w:cs="Arial" w:eastAsia="Arial" w:hAnsi="Arial"/>
                <w:sz w:val="14"/>
                <w:szCs w:val="14"/>
                <w:color w:val="0000EE"/>
              </w:rPr>
            </w:pPr>
            <w:hyperlink w:anchor="page158">
              <w:r>
                <w:rPr>
                  <w:rFonts w:ascii="Arial" w:cs="Arial" w:eastAsia="Arial" w:hAnsi="Arial"/>
                  <w:sz w:val="14"/>
                  <w:szCs w:val="14"/>
                  <w:color w:val="0000EE"/>
                </w:rPr>
                <w:t>Shares eligible for future sale</w:t>
              </w:r>
            </w:hyperlink>
          </w:p>
        </w:tc>
        <w:tc>
          <w:tcPr>
            <w:tcW w:w="6240" w:type="dxa"/>
            <w:vAlign w:val="bottom"/>
            <w:gridSpan w:val="9"/>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9"/>
        </w:trPr>
        <w:tc>
          <w:tcPr>
            <w:tcW w:w="5720" w:type="dxa"/>
            <w:vAlign w:val="bottom"/>
            <w:tcBorders>
              <w:bottom w:val="single" w:sz="8" w:color="0000EE"/>
            </w:tcBorders>
            <w:gridSpan w:val="22"/>
          </w:tcPr>
          <w:p>
            <w:pPr>
              <w:spacing w:after="0"/>
              <w:rPr>
                <w:rFonts w:ascii="Arial" w:cs="Arial" w:eastAsia="Arial" w:hAnsi="Arial"/>
                <w:sz w:val="14"/>
                <w:szCs w:val="14"/>
                <w:color w:val="0000EE"/>
              </w:rPr>
            </w:pPr>
            <w:hyperlink w:anchor="page161">
              <w:r>
                <w:rPr>
                  <w:rFonts w:ascii="Arial" w:cs="Arial" w:eastAsia="Arial" w:hAnsi="Arial"/>
                  <w:sz w:val="14"/>
                  <w:szCs w:val="14"/>
                  <w:color w:val="0000EE"/>
                </w:rPr>
                <w:t>Material U.S. federal income tax considerations for non-U.S. holders of our common stock</w:t>
              </w:r>
            </w:hyperlink>
          </w:p>
        </w:tc>
        <w:tc>
          <w:tcPr>
            <w:tcW w:w="238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10"/>
        </w:trPr>
        <w:tc>
          <w:tcPr>
            <w:tcW w:w="820" w:type="dxa"/>
            <w:vAlign w:val="bottom"/>
            <w:tcBorders>
              <w:bottom w:val="single" w:sz="8" w:color="0000EE"/>
            </w:tcBorders>
            <w:gridSpan w:val="4"/>
          </w:tcPr>
          <w:p>
            <w:pPr>
              <w:spacing w:after="0"/>
              <w:rPr>
                <w:rFonts w:ascii="Arial" w:cs="Arial" w:eastAsia="Arial" w:hAnsi="Arial"/>
                <w:sz w:val="14"/>
                <w:szCs w:val="14"/>
                <w:color w:val="0000EE"/>
              </w:rPr>
            </w:pPr>
            <w:hyperlink w:anchor="page166">
              <w:r>
                <w:rPr>
                  <w:rFonts w:ascii="Arial" w:cs="Arial" w:eastAsia="Arial" w:hAnsi="Arial"/>
                  <w:sz w:val="14"/>
                  <w:szCs w:val="14"/>
                  <w:color w:val="0000EE"/>
                </w:rPr>
                <w:t>Underwriters</w:t>
              </w:r>
            </w:hyperlink>
          </w:p>
        </w:tc>
        <w:tc>
          <w:tcPr>
            <w:tcW w:w="7280" w:type="dxa"/>
            <w:vAlign w:val="bottom"/>
            <w:gridSpan w:val="19"/>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09"/>
        </w:trPr>
        <w:tc>
          <w:tcPr>
            <w:tcW w:w="8100" w:type="dxa"/>
            <w:vAlign w:val="bottom"/>
            <w:gridSpan w:val="23"/>
          </w:tcPr>
          <w:p>
            <w:pPr>
              <w:spacing w:after="0"/>
              <w:rPr>
                <w:rFonts w:ascii="Arial" w:cs="Arial" w:eastAsia="Arial" w:hAnsi="Arial"/>
                <w:sz w:val="14"/>
                <w:szCs w:val="14"/>
                <w:color w:val="0000EE"/>
              </w:rPr>
            </w:pPr>
            <w:hyperlink w:anchor="page176">
              <w:r>
                <w:rPr>
                  <w:rFonts w:ascii="Arial" w:cs="Arial" w:eastAsia="Arial" w:hAnsi="Arial"/>
                  <w:sz w:val="14"/>
                  <w:szCs w:val="14"/>
                  <w:color w:val="0000EE"/>
                </w:rPr>
                <w:t>Legal matters</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10"/>
        </w:trPr>
        <w:tc>
          <w:tcPr>
            <w:tcW w:w="860" w:type="dxa"/>
            <w:vAlign w:val="bottom"/>
            <w:tcBorders>
              <w:top w:val="single" w:sz="8" w:color="0000EE"/>
            </w:tcBorders>
            <w:gridSpan w:val="6"/>
          </w:tcPr>
          <w:p>
            <w:pPr>
              <w:spacing w:after="0"/>
              <w:rPr>
                <w:rFonts w:ascii="Arial" w:cs="Arial" w:eastAsia="Arial" w:hAnsi="Arial"/>
                <w:sz w:val="14"/>
                <w:szCs w:val="14"/>
                <w:color w:val="0000EE"/>
              </w:rPr>
            </w:pPr>
            <w:hyperlink w:anchor="page176">
              <w:r>
                <w:rPr>
                  <w:rFonts w:ascii="Arial" w:cs="Arial" w:eastAsia="Arial" w:hAnsi="Arial"/>
                  <w:sz w:val="14"/>
                  <w:szCs w:val="14"/>
                  <w:color w:val="0000EE"/>
                </w:rPr>
                <w:t>Experts</w:t>
              </w:r>
            </w:hyperlink>
          </w:p>
        </w:tc>
        <w:tc>
          <w:tcPr>
            <w:tcW w:w="7240" w:type="dxa"/>
            <w:vAlign w:val="bottom"/>
            <w:gridSpan w:val="17"/>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0"/>
        </w:trPr>
        <w:tc>
          <w:tcPr>
            <w:tcW w:w="480" w:type="dxa"/>
            <w:vAlign w:val="bottom"/>
            <w:shd w:val="clear" w:color="auto" w:fill="0000EE"/>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10"/>
        </w:trPr>
        <w:tc>
          <w:tcPr>
            <w:tcW w:w="8100" w:type="dxa"/>
            <w:vAlign w:val="bottom"/>
            <w:gridSpan w:val="23"/>
          </w:tcPr>
          <w:p>
            <w:pPr>
              <w:spacing w:after="0"/>
              <w:rPr>
                <w:rFonts w:ascii="Arial" w:cs="Arial" w:eastAsia="Arial" w:hAnsi="Arial"/>
                <w:sz w:val="14"/>
                <w:szCs w:val="14"/>
                <w:color w:val="0000EE"/>
              </w:rPr>
            </w:pPr>
            <w:hyperlink w:anchor="page176">
              <w:r>
                <w:rPr>
                  <w:rFonts w:ascii="Arial" w:cs="Arial" w:eastAsia="Arial" w:hAnsi="Arial"/>
                  <w:sz w:val="14"/>
                  <w:szCs w:val="14"/>
                  <w:color w:val="0000EE"/>
                </w:rPr>
                <w:t>Where you can find additional information</w:t>
              </w:r>
            </w:hyperlink>
          </w:p>
        </w:tc>
        <w:tc>
          <w:tcPr>
            <w:tcW w:w="28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09"/>
        </w:trPr>
        <w:tc>
          <w:tcPr>
            <w:tcW w:w="1820" w:type="dxa"/>
            <w:vAlign w:val="bottom"/>
            <w:tcBorders>
              <w:top w:val="single" w:sz="8" w:color="0000EE"/>
              <w:bottom w:val="single" w:sz="8" w:color="0000EE"/>
            </w:tcBorders>
            <w:gridSpan w:val="13"/>
          </w:tcPr>
          <w:p>
            <w:pPr>
              <w:spacing w:after="0"/>
              <w:rPr>
                <w:rFonts w:ascii="Arial" w:cs="Arial" w:eastAsia="Arial" w:hAnsi="Arial"/>
                <w:sz w:val="14"/>
                <w:szCs w:val="14"/>
                <w:color w:val="0000EE"/>
              </w:rPr>
            </w:pPr>
            <w:hyperlink w:anchor="page177">
              <w:r>
                <w:rPr>
                  <w:rFonts w:ascii="Arial" w:cs="Arial" w:eastAsia="Arial" w:hAnsi="Arial"/>
                  <w:sz w:val="14"/>
                  <w:szCs w:val="14"/>
                  <w:color w:val="0000EE"/>
                </w:rPr>
                <w:t>Index to financial statements</w:t>
              </w:r>
            </w:hyperlink>
          </w:p>
        </w:tc>
        <w:tc>
          <w:tcPr>
            <w:tcW w:w="820" w:type="dxa"/>
            <w:vAlign w:val="bottom"/>
            <w:tcBorders>
              <w:top w:val="single" w:sz="8" w:color="0000EE"/>
            </w:tcBorders>
            <w:gridSpan w:val="4"/>
          </w:tcPr>
          <w:p>
            <w:pPr>
              <w:spacing w:after="0"/>
              <w:rPr>
                <w:sz w:val="18"/>
                <w:szCs w:val="18"/>
                <w:color w:val="auto"/>
              </w:rPr>
            </w:pPr>
          </w:p>
        </w:tc>
        <w:tc>
          <w:tcPr>
            <w:tcW w:w="5460" w:type="dxa"/>
            <w:vAlign w:val="bottom"/>
            <w:gridSpan w:val="6"/>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137160</wp:posOffset>
            </wp:positionV>
            <wp:extent cx="1680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72"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b w:val="1"/>
          <w:bCs w:val="1"/>
          <w:color w:val="auto"/>
        </w:rPr>
        <w:t>Through and including November 22,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120015</wp:posOffset>
            </wp:positionV>
            <wp:extent cx="1680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6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83"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Prospectus summary</w:t>
      </w:r>
    </w:p>
    <w:p>
      <w:pPr>
        <w:spacing w:after="0" w:line="125" w:lineRule="exact"/>
        <w:rPr>
          <w:sz w:val="20"/>
          <w:szCs w:val="20"/>
          <w:color w:val="auto"/>
        </w:rPr>
      </w:pPr>
    </w:p>
    <w:p>
      <w:pPr>
        <w:ind w:left="300" w:right="20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“Risk factors” and our consolidated financial statements and the related notes appearing elsewhere in this prospectus, before making an investment decision. As used in this prospectus, unless the context otherwise requires, references to “we,” “us,” “our,” “our company,” and “Udemy” refer to Udemy, Inc.</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jc w:val="both"/>
        <w:ind w:left="300" w:right="400"/>
        <w:spacing w:after="0"/>
        <w:rPr>
          <w:sz w:val="20"/>
          <w:szCs w:val="20"/>
          <w:color w:val="auto"/>
        </w:rPr>
      </w:pPr>
      <w:r>
        <w:rPr>
          <w:rFonts w:ascii="Arial" w:cs="Arial" w:eastAsia="Arial" w:hAnsi="Arial"/>
          <w:sz w:val="18"/>
          <w:szCs w:val="18"/>
          <w:color w:val="auto"/>
        </w:rPr>
        <w:t>Our mission is to create new possibilities for people and organizations everywhere by connecting them to the knowledge and skills they need to succeed in a changing world. Our marketplace platform, with thousands of up-to-date courses in dozens of languages, provides the tools that learners, instructors, and enterprises need to achieve their goals and reach their full potential.</w:t>
      </w:r>
    </w:p>
    <w:p>
      <w:pPr>
        <w:spacing w:after="0" w:line="203" w:lineRule="exact"/>
        <w:rPr>
          <w:sz w:val="20"/>
          <w:szCs w:val="20"/>
          <w:color w:val="auto"/>
        </w:rPr>
      </w:pPr>
    </w:p>
    <w:p>
      <w:pPr>
        <w:ind w:left="300" w:right="260"/>
        <w:spacing w:after="0" w:line="261" w:lineRule="auto"/>
        <w:rPr>
          <w:sz w:val="20"/>
          <w:szCs w:val="20"/>
          <w:color w:val="auto"/>
        </w:rPr>
      </w:pPr>
      <w:r>
        <w:rPr>
          <w:rFonts w:ascii="Arial" w:cs="Arial" w:eastAsia="Arial" w:hAnsi="Arial"/>
          <w:sz w:val="17"/>
          <w:szCs w:val="17"/>
          <w:color w:val="auto"/>
        </w:rPr>
        <w:t>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w:t>
      </w:r>
    </w:p>
    <w:p>
      <w:pPr>
        <w:spacing w:after="0" w:line="186" w:lineRule="exact"/>
        <w:rPr>
          <w:sz w:val="20"/>
          <w:szCs w:val="20"/>
          <w:color w:val="auto"/>
        </w:rPr>
      </w:pPr>
    </w:p>
    <w:p>
      <w:pPr>
        <w:ind w:left="300" w:right="340"/>
        <w:spacing w:after="0" w:line="238" w:lineRule="auto"/>
        <w:rPr>
          <w:sz w:val="20"/>
          <w:szCs w:val="20"/>
          <w:color w:val="auto"/>
        </w:rPr>
      </w:pPr>
      <w:r>
        <w:rPr>
          <w:rFonts w:ascii="Arial" w:cs="Arial" w:eastAsia="Arial" w:hAnsi="Arial"/>
          <w:sz w:val="18"/>
          <w:szCs w:val="18"/>
          <w:color w:val="auto"/>
        </w:rPr>
        <w:t>Udemy operates a two-sided marketplace where our instructors develop content to meet learner demand. Courses can be accessed through our direct-to-consumer or Udemy Business, or UB, offerings. Our platform provides over 44 million learners with access to over 183,000 courses in 75 languages and over 180 countries. Since inception, more than 73 million users have registered with Udemy.</w:t>
      </w:r>
    </w:p>
    <w:p>
      <w:pPr>
        <w:spacing w:after="0" w:line="205" w:lineRule="exact"/>
        <w:rPr>
          <w:sz w:val="20"/>
          <w:szCs w:val="20"/>
          <w:color w:val="auto"/>
        </w:rPr>
      </w:pPr>
    </w:p>
    <w:p>
      <w:pPr>
        <w:ind w:left="300" w:right="380"/>
        <w:spacing w:after="0" w:line="238" w:lineRule="auto"/>
        <w:rPr>
          <w:sz w:val="20"/>
          <w:szCs w:val="20"/>
          <w:color w:val="auto"/>
        </w:rPr>
      </w:pPr>
      <w:r>
        <w:rPr>
          <w:rFonts w:ascii="Arial" w:cs="Arial" w:eastAsia="Arial" w:hAnsi="Arial"/>
          <w:sz w:val="18"/>
          <w:szCs w:val="18"/>
          <w:color w:val="auto"/>
        </w:rPr>
        <w:t>Udemy courses address learning objectives such as reskilling or upskilling in technology and business, enhancing soft skills, and personal development. We analyze platform data to better determine our learners’ needs, helping us match individuals with relevant courses and, within UB, learning paths for a more personalized experience. Our learners also receive access to interactive learning tools such as quizzes, exercises, and instructor questions-and-answers, or Q&amp;A.</w:t>
      </w:r>
    </w:p>
    <w:p>
      <w:pPr>
        <w:spacing w:after="0" w:line="205" w:lineRule="exact"/>
        <w:rPr>
          <w:sz w:val="20"/>
          <w:szCs w:val="20"/>
          <w:color w:val="auto"/>
        </w:rPr>
      </w:pPr>
    </w:p>
    <w:p>
      <w:pPr>
        <w:ind w:left="300" w:right="240"/>
        <w:spacing w:after="0" w:line="246" w:lineRule="auto"/>
        <w:rPr>
          <w:sz w:val="20"/>
          <w:szCs w:val="20"/>
          <w:color w:val="auto"/>
        </w:rPr>
      </w:pPr>
      <w:r>
        <w:rPr>
          <w:rFonts w:ascii="Arial" w:cs="Arial" w:eastAsia="Arial" w:hAnsi="Arial"/>
          <w:sz w:val="18"/>
          <w:szCs w:val="18"/>
          <w:color w:val="auto"/>
        </w:rPr>
        <w:t>Within our marketplace and UB catalog, we provide learners with high-quality content by prioritizing courses based on factors such as learner feedback and ratings, topic relevance, content quality, and instructor engagement.</w:t>
      </w:r>
    </w:p>
    <w:p>
      <w:pPr>
        <w:spacing w:after="0" w:line="197" w:lineRule="exact"/>
        <w:rPr>
          <w:sz w:val="20"/>
          <w:szCs w:val="20"/>
          <w:color w:val="auto"/>
        </w:rPr>
      </w:pPr>
    </w:p>
    <w:p>
      <w:pPr>
        <w:ind w:left="300" w:right="220"/>
        <w:spacing w:after="0" w:line="238" w:lineRule="auto"/>
        <w:rPr>
          <w:sz w:val="20"/>
          <w:szCs w:val="20"/>
          <w:color w:val="auto"/>
        </w:rPr>
      </w:pPr>
      <w:r>
        <w:rPr>
          <w:rFonts w:ascii="Arial" w:cs="Arial" w:eastAsia="Arial" w:hAnsi="Arial"/>
          <w:sz w:val="18"/>
          <w:szCs w:val="18"/>
          <w:color w:val="auto"/>
        </w:rPr>
        <w:t>Our business has experienced rapid growth. From 2019 to 2020, our revenue grew 55.6% to $429.9 million, which includes 103.5% growth in UB revenue, although we incurred net losses of $69.7 million and $ 77.6 million during 2019 and 2020, respectively. From the six months ended June 30, 2020 to the six months ended June 30, 2021, our revenue grew 24.5% to $250.6 million, which includes 78.7% growth in UB revenue, although we incurred net losses of $52.5 million and $29.4 million during the six months ended June 30, 2020 and 2021, respectively.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Industry</w:t>
      </w:r>
    </w:p>
    <w:p>
      <w:pPr>
        <w:spacing w:after="0" w:line="130" w:lineRule="exact"/>
        <w:rPr>
          <w:sz w:val="20"/>
          <w:szCs w:val="20"/>
          <w:color w:val="auto"/>
        </w:rPr>
      </w:pPr>
    </w:p>
    <w:p>
      <w:pPr>
        <w:jc w:val="both"/>
        <w:ind w:left="300" w:right="220"/>
        <w:spacing w:after="0" w:line="238" w:lineRule="auto"/>
        <w:rPr>
          <w:sz w:val="20"/>
          <w:szCs w:val="20"/>
          <w:color w:val="auto"/>
        </w:rPr>
      </w:pPr>
      <w:r>
        <w:rPr>
          <w:rFonts w:ascii="Arial" w:cs="Arial" w:eastAsia="Arial" w:hAnsi="Arial"/>
          <w:sz w:val="18"/>
          <w:szCs w:val="18"/>
          <w:color w:val="auto"/>
        </w:rPr>
        <w:t>As technological advancements, new fields of study, and novel industries render existing skill sets obsolete, the need for a new model for learning and teaching skills is urgent. According to the World Economic Forum, companies surveyed estimate that around 40% of workers will require short-cycle reskilling (i.e., six months or less), and 94% of business leaders report that they expect employees to pick up new skills on the job.</w:t>
      </w:r>
    </w:p>
    <w:p>
      <w:pPr>
        <w:spacing w:after="0" w:line="205" w:lineRule="exact"/>
        <w:rPr>
          <w:sz w:val="20"/>
          <w:szCs w:val="20"/>
          <w:color w:val="auto"/>
        </w:rPr>
      </w:pPr>
    </w:p>
    <w:p>
      <w:pPr>
        <w:ind w:left="300" w:right="380"/>
        <w:spacing w:after="0" w:line="246" w:lineRule="auto"/>
        <w:rPr>
          <w:sz w:val="20"/>
          <w:szCs w:val="20"/>
          <w:color w:val="auto"/>
        </w:rPr>
      </w:pPr>
      <w:r>
        <w:rPr>
          <w:rFonts w:ascii="Arial" w:cs="Arial" w:eastAsia="Arial" w:hAnsi="Arial"/>
          <w:sz w:val="18"/>
          <w:szCs w:val="18"/>
          <w:color w:val="auto"/>
        </w:rPr>
        <w:t>The shift to online learning has been ongoing for years, and the COVID-19 pandemic has further accelerated this shift. According to the World Economic Forum, 84% of employers surveyed report that the COVID-19 pandemic has increased the need to digitize.</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Unfortunately, many of today’s options have a number of shortcomings:</w:t>
      </w:r>
    </w:p>
    <w:p>
      <w:pPr>
        <w:spacing w:after="0" w:line="99" w:lineRule="exact"/>
        <w:rPr>
          <w:sz w:val="20"/>
          <w:szCs w:val="20"/>
          <w:color w:val="auto"/>
        </w:rPr>
      </w:pPr>
    </w:p>
    <w:p>
      <w:pPr>
        <w:ind w:left="900" w:right="620" w:hanging="291"/>
        <w:spacing w:after="0" w:line="264"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Relevance</w:t>
      </w:r>
      <w:r>
        <w:rPr>
          <w:rFonts w:ascii="Arial" w:cs="Arial" w:eastAsia="Arial" w:hAnsi="Arial"/>
          <w:sz w:val="17"/>
          <w:szCs w:val="17"/>
          <w:color w:val="auto"/>
        </w:rPr>
        <w:t>: Traditional learning solutions rely on the so-called publisher model, which involves a lengthy, centralized,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expensive “top-down” development process by multiple levels of editors and reviewers. We believe a top-down publisher model disincentivizes continuous course creation or improvement post-publication because it limits the speed of course development, instructors’ creative oversight over their content, and the cost-effectiveness of localized content production.</w:t>
      </w:r>
    </w:p>
    <w:p>
      <w:pPr>
        <w:spacing w:after="0" w:line="71" w:lineRule="exact"/>
        <w:rPr>
          <w:rFonts w:ascii="Arial" w:cs="Arial" w:eastAsia="Arial" w:hAnsi="Arial"/>
          <w:sz w:val="17"/>
          <w:szCs w:val="17"/>
          <w:color w:val="auto"/>
        </w:rPr>
      </w:pPr>
    </w:p>
    <w:p>
      <w:pPr>
        <w:ind w:left="900" w:right="340" w:hanging="291"/>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Breadth</w:t>
      </w:r>
      <w:r>
        <w:rPr>
          <w:rFonts w:ascii="Arial" w:cs="Arial" w:eastAsia="Arial" w:hAnsi="Arial"/>
          <w:sz w:val="18"/>
          <w:szCs w:val="18"/>
          <w:color w:val="auto"/>
        </w:rPr>
        <w:t>: Due to the slower speed and higher costs associated with the publisher model, existing solutions often focus on a</w:t>
      </w:r>
      <w:r>
        <w:rPr>
          <w:rFonts w:ascii="Arial" w:cs="Arial" w:eastAsia="Arial" w:hAnsi="Arial"/>
          <w:sz w:val="18"/>
          <w:szCs w:val="18"/>
          <w:i w:val="1"/>
          <w:iCs w:val="1"/>
          <w:color w:val="auto"/>
        </w:rPr>
        <w:t xml:space="preserve"> </w:t>
      </w:r>
      <w:r>
        <w:rPr>
          <w:rFonts w:ascii="Arial" w:cs="Arial" w:eastAsia="Arial" w:hAnsi="Arial"/>
          <w:sz w:val="18"/>
          <w:szCs w:val="18"/>
          <w:color w:val="auto"/>
        </w:rPr>
        <w:t>few popular learning areas such as technical skills or creative skills. These training options may lack the content breadth and instructor diversity to meet the interdisciplinary objectives of modern learners.</w:t>
      </w:r>
    </w:p>
    <w:p>
      <w:pPr>
        <w:spacing w:after="0" w:line="82" w:lineRule="exact"/>
        <w:rPr>
          <w:rFonts w:ascii="Arial" w:cs="Arial" w:eastAsia="Arial" w:hAnsi="Arial"/>
          <w:sz w:val="18"/>
          <w:szCs w:val="18"/>
          <w:color w:val="auto"/>
        </w:rPr>
      </w:pPr>
    </w:p>
    <w:p>
      <w:pPr>
        <w:ind w:left="900" w:right="600" w:hanging="291"/>
        <w:spacing w:after="0" w:line="26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Quality</w:t>
      </w:r>
      <w:r>
        <w:rPr>
          <w:rFonts w:ascii="Arial" w:cs="Arial" w:eastAsia="Arial" w:hAnsi="Arial"/>
          <w:sz w:val="18"/>
          <w:szCs w:val="18"/>
          <w:color w:val="auto"/>
        </w:rPr>
        <w:t>: Because traditional providers often lack quality indicators such as ratings, reviews, and past performance, finding</w:t>
      </w:r>
      <w:r>
        <w:rPr>
          <w:rFonts w:ascii="Arial" w:cs="Arial" w:eastAsia="Arial" w:hAnsi="Arial"/>
          <w:sz w:val="18"/>
          <w:szCs w:val="18"/>
          <w:i w:val="1"/>
          <w:iCs w:val="1"/>
          <w:color w:val="auto"/>
        </w:rPr>
        <w:t xml:space="preserve"> </w:t>
      </w:r>
      <w:r>
        <w:rPr>
          <w:rFonts w:ascii="Arial" w:cs="Arial" w:eastAsia="Arial" w:hAnsi="Arial"/>
          <w:sz w:val="18"/>
          <w:szCs w:val="18"/>
          <w:color w:val="auto"/>
        </w:rPr>
        <w:t>high-quality content can prove difficult and time consuming for learners.</w:t>
      </w:r>
    </w:p>
    <w:p>
      <w:pPr>
        <w:spacing w:after="0" w:line="65" w:lineRule="exact"/>
        <w:rPr>
          <w:rFonts w:ascii="Arial" w:cs="Arial" w:eastAsia="Arial" w:hAnsi="Arial"/>
          <w:sz w:val="18"/>
          <w:szCs w:val="18"/>
          <w:color w:val="auto"/>
        </w:rPr>
      </w:pPr>
    </w:p>
    <w:p>
      <w:pPr>
        <w:ind w:left="900" w:right="280" w:hanging="291"/>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Existing solutions have proven ineffective at operating on a global scale. Many rely on in-person training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slow to leverage technology, making them difficult to reproduce at scale. Other digital solutions, despite being more scalable than in-person training, have also struggled to provide local content for international communities.</w:t>
      </w:r>
    </w:p>
    <w:p>
      <w:pPr>
        <w:spacing w:after="0" w:line="82" w:lineRule="exact"/>
        <w:rPr>
          <w:rFonts w:ascii="Arial" w:cs="Arial" w:eastAsia="Arial" w:hAnsi="Arial"/>
          <w:sz w:val="18"/>
          <w:szCs w:val="18"/>
          <w:color w:val="auto"/>
        </w:rPr>
      </w:pPr>
    </w:p>
    <w:p>
      <w:pPr>
        <w:ind w:left="900" w:right="500" w:hanging="291"/>
        <w:spacing w:after="0" w:line="26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Affordability</w:t>
      </w:r>
      <w:r>
        <w:rPr>
          <w:rFonts w:ascii="Arial" w:cs="Arial" w:eastAsia="Arial" w:hAnsi="Arial"/>
          <w:sz w:val="18"/>
          <w:szCs w:val="18"/>
          <w:color w:val="auto"/>
        </w:rPr>
        <w:t>: The high cost of learning solutions prevents many individual learners from advancing or upgrading their skills.</w:t>
      </w:r>
      <w:r>
        <w:rPr>
          <w:rFonts w:ascii="Arial" w:cs="Arial" w:eastAsia="Arial" w:hAnsi="Arial"/>
          <w:sz w:val="18"/>
          <w:szCs w:val="18"/>
          <w:i w:val="1"/>
          <w:iCs w:val="1"/>
          <w:color w:val="auto"/>
        </w:rPr>
        <w:t xml:space="preserve"> </w:t>
      </w:r>
      <w:r>
        <w:rPr>
          <w:rFonts w:ascii="Arial" w:cs="Arial" w:eastAsia="Arial" w:hAnsi="Arial"/>
          <w:sz w:val="18"/>
          <w:szCs w:val="18"/>
          <w:color w:val="auto"/>
        </w:rPr>
        <w:t>Likewise, pricing for existing solutions is often standardized globally, further limiting access in many geographies.</w:t>
      </w:r>
    </w:p>
    <w:p>
      <w:pPr>
        <w:spacing w:after="0" w:line="178" w:lineRule="exact"/>
        <w:rPr>
          <w:sz w:val="20"/>
          <w:szCs w:val="20"/>
          <w:color w:val="auto"/>
        </w:rPr>
      </w:pPr>
    </w:p>
    <w:p>
      <w:pPr>
        <w:ind w:left="300" w:right="780"/>
        <w:spacing w:after="0" w:line="246" w:lineRule="auto"/>
        <w:rPr>
          <w:sz w:val="20"/>
          <w:szCs w:val="20"/>
          <w:color w:val="auto"/>
        </w:rPr>
      </w:pPr>
      <w:r>
        <w:rPr>
          <w:rFonts w:ascii="Arial" w:cs="Arial" w:eastAsia="Arial" w:hAnsi="Arial"/>
          <w:sz w:val="18"/>
          <w:szCs w:val="18"/>
          <w:color w:val="auto"/>
        </w:rPr>
        <w:t>We offer a new approach, one that addresses these shortcomings and effectively connects the global ecosystem of learners to up-to-date knowledge from experts and practitioners around the world. We are creating a better learning experience.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market opportunity</w:t>
      </w:r>
    </w:p>
    <w:p>
      <w:pPr>
        <w:spacing w:after="0" w:line="130" w:lineRule="exact"/>
        <w:rPr>
          <w:sz w:val="20"/>
          <w:szCs w:val="20"/>
          <w:color w:val="auto"/>
        </w:rPr>
      </w:pPr>
    </w:p>
    <w:p>
      <w:pPr>
        <w:ind w:left="300" w:right="200"/>
        <w:spacing w:after="0" w:line="257" w:lineRule="auto"/>
        <w:rPr>
          <w:sz w:val="20"/>
          <w:szCs w:val="20"/>
          <w:color w:val="auto"/>
        </w:rPr>
      </w:pPr>
      <w:r>
        <w:rPr>
          <w:rFonts w:ascii="Arial" w:cs="Arial" w:eastAsia="Arial" w:hAnsi="Arial"/>
          <w:sz w:val="17"/>
          <w:szCs w:val="17"/>
          <w:color w:val="auto"/>
        </w:rPr>
        <w:t>According to a HolonIQ study, the global online and offline education market was $ 2.6 trillion across higher education, corporate training, and online learning in 2019. Before the COVID-19 pandemic, the majority of corporate training occurred offline, and we believe that online education is well placed to address the scalability and affordability limitations of offline education. With the increase of internet connectivity, technological advances, and interactive tools at a low cost, we expect a massive shift from offline to online.</w:t>
      </w:r>
    </w:p>
    <w:p>
      <w:pPr>
        <w:spacing w:after="0" w:line="189" w:lineRule="exact"/>
        <w:rPr>
          <w:sz w:val="20"/>
          <w:szCs w:val="20"/>
          <w:color w:val="auto"/>
        </w:rPr>
      </w:pPr>
    </w:p>
    <w:p>
      <w:pPr>
        <w:jc w:val="both"/>
        <w:ind w:left="300" w:right="500"/>
        <w:spacing w:after="0"/>
        <w:rPr>
          <w:sz w:val="20"/>
          <w:szCs w:val="20"/>
          <w:color w:val="auto"/>
        </w:rPr>
      </w:pPr>
      <w:r>
        <w:rPr>
          <w:rFonts w:ascii="Arial" w:cs="Arial" w:eastAsia="Arial" w:hAnsi="Arial"/>
          <w:sz w:val="18"/>
          <w:szCs w:val="18"/>
          <w:color w:val="auto"/>
        </w:rPr>
        <w:t>Based on data from Arizton, we estimate our market opportunity in online learning to be $223 billion. We calculate this estimate by aggregating the global corporate opportunity of $71 billion and the global consumer opportunity of $152 billion in 2021. We believe that our market opportunity could grow to be multiples of today’s estimate as learning continues to transition online.</w:t>
      </w:r>
    </w:p>
    <w:p>
      <w:pPr>
        <w:spacing w:after="0" w:line="203" w:lineRule="exact"/>
        <w:rPr>
          <w:sz w:val="20"/>
          <w:szCs w:val="20"/>
          <w:color w:val="auto"/>
        </w:rPr>
      </w:pPr>
    </w:p>
    <w:p>
      <w:pPr>
        <w:ind w:left="300" w:right="300"/>
        <w:spacing w:after="0" w:line="246" w:lineRule="auto"/>
        <w:rPr>
          <w:sz w:val="20"/>
          <w:szCs w:val="20"/>
          <w:color w:val="auto"/>
        </w:rPr>
      </w:pPr>
      <w:r>
        <w:rPr>
          <w:rFonts w:ascii="Arial" w:cs="Arial" w:eastAsia="Arial" w:hAnsi="Arial"/>
          <w:sz w:val="18"/>
          <w:szCs w:val="18"/>
          <w:color w:val="auto"/>
        </w:rPr>
        <w:t>Further, we believe that online education can address the rising demand for lifelong learning in the rapidly evolving world economy, a development that would expand our market opportunity to include the majority of the global adult population.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solution: the world’s learning platform</w:t>
      </w:r>
    </w:p>
    <w:p>
      <w:pPr>
        <w:spacing w:after="0" w:line="130" w:lineRule="exact"/>
        <w:rPr>
          <w:sz w:val="20"/>
          <w:szCs w:val="20"/>
          <w:color w:val="auto"/>
        </w:rPr>
      </w:pPr>
    </w:p>
    <w:p>
      <w:pPr>
        <w:ind w:left="300" w:right="200"/>
        <w:spacing w:after="0"/>
        <w:rPr>
          <w:sz w:val="20"/>
          <w:szCs w:val="20"/>
          <w:color w:val="auto"/>
        </w:rPr>
      </w:pPr>
      <w:r>
        <w:rPr>
          <w:rFonts w:ascii="Arial" w:cs="Arial" w:eastAsia="Arial" w:hAnsi="Arial"/>
          <w:sz w:val="18"/>
          <w:szCs w:val="18"/>
          <w:color w:val="auto"/>
        </w:rPr>
        <w:t>Our platform allows individual learners and organizations all over the world to access affordable, relevant, and up-to-date content from experts and experienced practitioners in nearly every field. We combine high-quality content with data insights and technology to create a platform purpose-built for the needs of learners, instructors, and organizations.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0"/>
        <w:spacing w:after="0" w:line="238" w:lineRule="auto"/>
        <w:rPr>
          <w:sz w:val="20"/>
          <w:szCs w:val="20"/>
          <w:color w:val="auto"/>
        </w:rPr>
      </w:pPr>
      <w:r>
        <w:rPr>
          <w:rFonts w:ascii="Arial" w:cs="Arial" w:eastAsia="Arial" w:hAnsi="Arial"/>
          <w:sz w:val="18"/>
          <w:szCs w:val="18"/>
          <w:color w:val="auto"/>
        </w:rPr>
        <w:t>Our platform delivers a powerful flywheel of content creation, engagement, and continuous content optimization. Our expert instructors continuously generate new courses and update existing ones, while our marketplace encourages engagement on the most in-demand topics. The volume and frequency of these interactions allow us to generate meaningful insights and provide real-time feedback and analytics for our instructors. These data insights in turn improve content quality, enhance course personalization, and optimize productivity and satisfaction for our learners.</w:t>
      </w:r>
    </w:p>
    <w:p>
      <w:pPr>
        <w:spacing w:after="0" w:line="202" w:lineRule="exact"/>
        <w:rPr>
          <w:sz w:val="20"/>
          <w:szCs w:val="20"/>
          <w:color w:val="auto"/>
        </w:rPr>
      </w:pPr>
    </w:p>
    <w:p>
      <w:pPr>
        <w:ind w:left="300" w:right="240"/>
        <w:spacing w:after="0" w:line="238" w:lineRule="auto"/>
        <w:rPr>
          <w:sz w:val="20"/>
          <w:szCs w:val="20"/>
          <w:color w:val="auto"/>
        </w:rPr>
      </w:pPr>
      <w:r>
        <w:rPr>
          <w:rFonts w:ascii="Arial" w:cs="Arial" w:eastAsia="Arial" w:hAnsi="Arial"/>
          <w:sz w:val="18"/>
          <w:szCs w:val="18"/>
          <w:color w:val="auto"/>
        </w:rPr>
        <w:t>One way that we foster access to courses for individual learners and enterprises is through broad content distribution across our various channels. We leverage machine learning, or ML, to increase learner retention and conversion using enhanced personalization. At the same time, we believe our model encourages more relevant and engaging content through well-aligned incentives for our instructors, supported by consistent improvement from the feedback and data collected from individual learners and UB customers.</w:t>
      </w:r>
    </w:p>
    <w:p>
      <w:pPr>
        <w:spacing w:after="0" w:line="202" w:lineRule="exact"/>
        <w:rPr>
          <w:sz w:val="20"/>
          <w:szCs w:val="20"/>
          <w:color w:val="auto"/>
        </w:rPr>
      </w:pPr>
    </w:p>
    <w:p>
      <w:pPr>
        <w:ind w:left="300" w:right="280"/>
        <w:spacing w:after="0" w:line="253" w:lineRule="auto"/>
        <w:rPr>
          <w:sz w:val="20"/>
          <w:szCs w:val="20"/>
          <w:color w:val="auto"/>
        </w:rPr>
      </w:pPr>
      <w:r>
        <w:rPr>
          <w:rFonts w:ascii="Arial" w:cs="Arial" w:eastAsia="Arial" w:hAnsi="Arial"/>
          <w:sz w:val="17"/>
          <w:szCs w:val="17"/>
          <w:color w:val="auto"/>
        </w:rPr>
        <w:t>Over 17,700 free courses are available on our platform. These free courses represent an important entry point for learners to experience our platform. Over 28 million consumer learners have enrolled in free courses on a wide range of topics taught by a diverse set of instructors in a variety of languages. Through this free content, we are able to build a large and cost-effective top of the funnel for both consumer and UB leads. Once learners interact with our platform, our ML algorithms recommend courses for learners to purchase based on topic, quality, instructor rating, number of enrollments, learner’s country of origin, and more. The algorithms help us maximize revenue while offering the best value to learners. Over 3.7 million free learners have converted to buyers.</w:t>
      </w:r>
    </w:p>
    <w:p>
      <w:pPr>
        <w:spacing w:after="0" w:line="195" w:lineRule="exact"/>
        <w:rPr>
          <w:sz w:val="20"/>
          <w:szCs w:val="20"/>
          <w:color w:val="auto"/>
        </w:rPr>
      </w:pPr>
    </w:p>
    <w:p>
      <w:pPr>
        <w:ind w:left="300" w:right="300"/>
        <w:spacing w:after="0" w:line="237" w:lineRule="auto"/>
        <w:rPr>
          <w:sz w:val="20"/>
          <w:szCs w:val="20"/>
          <w:color w:val="auto"/>
        </w:rPr>
      </w:pPr>
      <w:r>
        <w:rPr>
          <w:rFonts w:ascii="Arial" w:cs="Arial" w:eastAsia="Arial" w:hAnsi="Arial"/>
          <w:sz w:val="18"/>
          <w:szCs w:val="18"/>
          <w:color w:val="auto"/>
        </w:rPr>
        <w:t>We also offer unlimited access to a curated catalog of courses through our Consumer, Enterprise, and Team plan subscriptions. The courses selected for the subscription plans are among the highest quality, most relevant, and most popular on our platform. Learners can access the Consumer subscription plan for a monthly fee, whereas Enterprise plans have annual licenses that are priced based on volume. Our Team plan offers customers access to over 6,000 top-rated courses for 5-20 seats at an annual rate starting at $360 per seat. The Enterprise plan begins with the same offering as the Team plan and supplements it with administrative tools, insights, learning playbooks, and additional courses through our language packages.</w:t>
      </w:r>
    </w:p>
    <w:p>
      <w:pPr>
        <w:spacing w:after="0" w:line="205" w:lineRule="exact"/>
        <w:rPr>
          <w:sz w:val="20"/>
          <w:szCs w:val="20"/>
          <w:color w:val="auto"/>
        </w:rPr>
      </w:pPr>
    </w:p>
    <w:p>
      <w:pPr>
        <w:jc w:val="both"/>
        <w:ind w:left="300" w:right="280"/>
        <w:spacing w:after="0" w:line="246" w:lineRule="auto"/>
        <w:rPr>
          <w:sz w:val="20"/>
          <w:szCs w:val="20"/>
          <w:color w:val="auto"/>
        </w:rPr>
      </w:pPr>
      <w:r>
        <w:rPr>
          <w:rFonts w:ascii="Arial" w:cs="Arial" w:eastAsia="Arial" w:hAnsi="Arial"/>
          <w:sz w:val="18"/>
          <w:szCs w:val="18"/>
          <w:color w:val="auto"/>
        </w:rPr>
        <w:t>In addition to these subscriptions, we offer immersive learning experiences such as labs, skills assessments, and coding exercises in a range of verticals.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offer our learners</w:t>
      </w:r>
    </w:p>
    <w:p>
      <w:pPr>
        <w:spacing w:after="0" w:line="126" w:lineRule="exact"/>
        <w:rPr>
          <w:sz w:val="20"/>
          <w:szCs w:val="20"/>
          <w:color w:val="auto"/>
        </w:rPr>
      </w:pPr>
    </w:p>
    <w:p>
      <w:pPr>
        <w:jc w:val="both"/>
        <w:ind w:left="300" w:right="300"/>
        <w:spacing w:after="0"/>
        <w:rPr>
          <w:sz w:val="20"/>
          <w:szCs w:val="20"/>
          <w:color w:val="auto"/>
        </w:rPr>
      </w:pPr>
      <w:r>
        <w:rPr>
          <w:rFonts w:ascii="Arial" w:cs="Arial" w:eastAsia="Arial" w:hAnsi="Arial"/>
          <w:sz w:val="18"/>
          <w:szCs w:val="18"/>
          <w:color w:val="auto"/>
        </w:rPr>
        <w:t>We provide over 44 million learners with relevant, affordable, and high-quality content, and we do this on a platform that enables the constant improvement of our courses by leveraging the social validation of over 594 million course enrollments, as well as thousands of ratings and reviews. With Udemy, learners can fulfill objectives involving:</w:t>
      </w:r>
    </w:p>
    <w:p>
      <w:pPr>
        <w:spacing w:after="0" w:line="90" w:lineRule="exact"/>
        <w:rPr>
          <w:sz w:val="20"/>
          <w:szCs w:val="20"/>
          <w:color w:val="auto"/>
        </w:rPr>
      </w:pPr>
    </w:p>
    <w:p>
      <w:pPr>
        <w:ind w:left="900" w:right="480" w:hanging="291"/>
        <w:spacing w:after="0" w:line="26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Technical skills</w:t>
      </w:r>
      <w:r>
        <w:rPr>
          <w:rFonts w:ascii="Arial" w:cs="Arial" w:eastAsia="Arial" w:hAnsi="Arial"/>
          <w:sz w:val="18"/>
          <w:szCs w:val="18"/>
          <w:color w:val="auto"/>
        </w:rPr>
        <w:t>: Learners often seek to gain proficiency in the latest technology, which helps them stay competitive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upskilling or reskilling their capabilities.</w:t>
      </w:r>
    </w:p>
    <w:p>
      <w:pPr>
        <w:spacing w:after="0" w:line="65" w:lineRule="exact"/>
        <w:rPr>
          <w:rFonts w:ascii="Arial" w:cs="Arial" w:eastAsia="Arial" w:hAnsi="Arial"/>
          <w:sz w:val="18"/>
          <w:szCs w:val="18"/>
          <w:color w:val="auto"/>
        </w:rPr>
      </w:pPr>
    </w:p>
    <w:p>
      <w:pPr>
        <w:ind w:left="900" w:right="220" w:hanging="291"/>
        <w:spacing w:after="0" w:line="26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Business skills</w:t>
      </w:r>
      <w:r>
        <w:rPr>
          <w:rFonts w:ascii="Arial" w:cs="Arial" w:eastAsia="Arial" w:hAnsi="Arial"/>
          <w:sz w:val="18"/>
          <w:szCs w:val="18"/>
          <w:color w:val="auto"/>
        </w:rPr>
        <w:t>: Business and professional soft skills, such as negotiation strategy or team leadership, are in constant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as individuals look to advance their careers, react to new workplace environments, or take on new responsibilities.</w:t>
      </w:r>
    </w:p>
    <w:p>
      <w:pPr>
        <w:spacing w:after="0" w:line="65" w:lineRule="exact"/>
        <w:rPr>
          <w:rFonts w:ascii="Arial" w:cs="Arial" w:eastAsia="Arial" w:hAnsi="Arial"/>
          <w:sz w:val="18"/>
          <w:szCs w:val="18"/>
          <w:color w:val="auto"/>
        </w:rPr>
      </w:pPr>
    </w:p>
    <w:p>
      <w:pPr>
        <w:ind w:left="900" w:right="540" w:hanging="291"/>
        <w:spacing w:after="0" w:line="26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Learners like to complement their primary skills with discovery of new interests or hobbies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music, drawing, and wellness.</w:t>
      </w:r>
    </w:p>
    <w:p>
      <w:pPr>
        <w:spacing w:after="0" w:line="178" w:lineRule="exact"/>
        <w:rPr>
          <w:sz w:val="20"/>
          <w:szCs w:val="20"/>
          <w:color w:val="auto"/>
        </w:rPr>
      </w:pPr>
    </w:p>
    <w:p>
      <w:pPr>
        <w:ind w:left="300" w:right="240"/>
        <w:spacing w:after="0" w:line="246" w:lineRule="auto"/>
        <w:rPr>
          <w:sz w:val="20"/>
          <w:szCs w:val="20"/>
          <w:color w:val="auto"/>
        </w:rPr>
      </w:pPr>
      <w:r>
        <w:rPr>
          <w:rFonts w:ascii="Arial" w:cs="Arial" w:eastAsia="Arial" w:hAnsi="Arial"/>
          <w:sz w:val="18"/>
          <w:szCs w:val="18"/>
          <w:color w:val="auto"/>
        </w:rPr>
        <w:t>Learners on Udemy receive a comprehensive and immersive experience through interactive exercises and the ability to communicate directly with instructors through Q&amp;A functionality.</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offer our Udemy Business customers</w:t>
      </w:r>
    </w:p>
    <w:p>
      <w:pPr>
        <w:spacing w:after="0" w:line="126" w:lineRule="exact"/>
        <w:rPr>
          <w:sz w:val="20"/>
          <w:szCs w:val="20"/>
          <w:color w:val="auto"/>
        </w:rPr>
      </w:pPr>
    </w:p>
    <w:p>
      <w:pPr>
        <w:ind w:left="300" w:right="280"/>
        <w:spacing w:after="0" w:line="246" w:lineRule="auto"/>
        <w:rPr>
          <w:sz w:val="20"/>
          <w:szCs w:val="20"/>
          <w:color w:val="auto"/>
        </w:rPr>
      </w:pPr>
      <w:r>
        <w:rPr>
          <w:rFonts w:ascii="Arial" w:cs="Arial" w:eastAsia="Arial" w:hAnsi="Arial"/>
          <w:sz w:val="18"/>
          <w:szCs w:val="18"/>
          <w:color w:val="auto"/>
        </w:rPr>
        <w:t>We have over 8,600 global UB customers, including 42 of the Fortune 100. Our UB customers typically express high satisfaction with their UB experience, resulting in our average net promoter score of 49.</w:t>
      </w:r>
    </w:p>
    <w:p>
      <w:pPr>
        <w:spacing w:after="0" w:line="197" w:lineRule="exact"/>
        <w:rPr>
          <w:sz w:val="20"/>
          <w:szCs w:val="20"/>
          <w:color w:val="auto"/>
        </w:rPr>
      </w:pPr>
    </w:p>
    <w:p>
      <w:pPr>
        <w:ind w:left="300" w:right="220"/>
        <w:spacing w:after="0" w:line="238" w:lineRule="auto"/>
        <w:rPr>
          <w:sz w:val="20"/>
          <w:szCs w:val="20"/>
          <w:color w:val="auto"/>
        </w:rPr>
      </w:pPr>
      <w:r>
        <w:rPr>
          <w:rFonts w:ascii="Arial" w:cs="Arial" w:eastAsia="Arial" w:hAnsi="Arial"/>
          <w:sz w:val="18"/>
          <w:szCs w:val="18"/>
          <w:color w:val="auto"/>
        </w:rPr>
        <w:t>Our curated UB offering begins with over 6,000 of the most engaging and relevant courses available on our platform. We also offer an extensive non-English language collection, which includes courses in Spanish, Portuguese, German, Japanese, and French. Arabic, Indonesian, Italian, Mandarin, and Turkish language packages were launched in 2021, and we plan to launch Korean, Polish, and Russian language packages later in the year.</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use a rigorous selection process across a wide set of criteria to determine the courses that will be offered as part of UB, including:</w:t>
      </w:r>
    </w:p>
    <w:p>
      <w:pPr>
        <w:spacing w:after="0" w:line="99" w:lineRule="exact"/>
        <w:rPr>
          <w:sz w:val="20"/>
          <w:szCs w:val="20"/>
          <w:color w:val="auto"/>
        </w:rPr>
      </w:pPr>
    </w:p>
    <w:p>
      <w:pPr>
        <w:ind w:left="900" w:right="500" w:hanging="291"/>
        <w:spacing w:after="0" w:line="26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User behavior</w:t>
      </w:r>
      <w:r>
        <w:rPr>
          <w:rFonts w:ascii="Arial" w:cs="Arial" w:eastAsia="Arial" w:hAnsi="Arial"/>
          <w:sz w:val="18"/>
          <w:szCs w:val="18"/>
          <w:color w:val="auto"/>
        </w:rPr>
        <w:t>: Learner feedback and ratings, as well as content searches, help us determine which courses to maintain or</w:t>
      </w:r>
      <w:r>
        <w:rPr>
          <w:rFonts w:ascii="Arial" w:cs="Arial" w:eastAsia="Arial" w:hAnsi="Arial"/>
          <w:sz w:val="18"/>
          <w:szCs w:val="18"/>
          <w:i w:val="1"/>
          <w:iCs w:val="1"/>
          <w:color w:val="auto"/>
        </w:rPr>
        <w:t xml:space="preserve"> </w:t>
      </w:r>
      <w:r>
        <w:rPr>
          <w:rFonts w:ascii="Arial" w:cs="Arial" w:eastAsia="Arial" w:hAnsi="Arial"/>
          <w:sz w:val="18"/>
          <w:szCs w:val="18"/>
          <w:color w:val="auto"/>
        </w:rPr>
        <w:t>add to UB.</w:t>
      </w:r>
    </w:p>
    <w:p>
      <w:pPr>
        <w:spacing w:after="0" w:line="65" w:lineRule="exact"/>
        <w:rPr>
          <w:rFonts w:ascii="Arial" w:cs="Arial" w:eastAsia="Arial" w:hAnsi="Arial"/>
          <w:sz w:val="18"/>
          <w:szCs w:val="18"/>
          <w:color w:val="auto"/>
        </w:rPr>
      </w:pPr>
    </w:p>
    <w:p>
      <w:pPr>
        <w:ind w:left="900" w:right="440" w:hanging="291"/>
        <w:spacing w:after="0" w:line="26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input</w:t>
      </w:r>
      <w:r>
        <w:rPr>
          <w:rFonts w:ascii="Arial" w:cs="Arial" w:eastAsia="Arial" w:hAnsi="Arial"/>
          <w:sz w:val="18"/>
          <w:szCs w:val="18"/>
          <w:color w:val="auto"/>
        </w:rPr>
        <w:t>: Specific content requests, prospects’ requests for proposal, and customer success stories are evaluated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new areas of focus that help ensure the continued strong relevance of our offering.</w:t>
      </w:r>
    </w:p>
    <w:p>
      <w:pPr>
        <w:spacing w:after="0" w:line="65" w:lineRule="exact"/>
        <w:rPr>
          <w:rFonts w:ascii="Arial" w:cs="Arial" w:eastAsia="Arial" w:hAnsi="Arial"/>
          <w:sz w:val="18"/>
          <w:szCs w:val="18"/>
          <w:color w:val="auto"/>
        </w:rPr>
      </w:pPr>
    </w:p>
    <w:p>
      <w:pPr>
        <w:ind w:left="900" w:right="360" w:hanging="291"/>
        <w:spacing w:after="0" w:line="26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Market research</w:t>
      </w:r>
      <w:r>
        <w:rPr>
          <w:rFonts w:ascii="Arial" w:cs="Arial" w:eastAsia="Arial" w:hAnsi="Arial"/>
          <w:sz w:val="18"/>
          <w:szCs w:val="18"/>
          <w:color w:val="auto"/>
        </w:rPr>
        <w:t>: Industry trends and instructor interviews help us determine relevant topics and new technologies valued by</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and their employees.</w:t>
      </w:r>
    </w:p>
    <w:p>
      <w:pPr>
        <w:spacing w:after="0" w:line="65" w:lineRule="exact"/>
        <w:rPr>
          <w:rFonts w:ascii="Arial" w:cs="Arial" w:eastAsia="Arial" w:hAnsi="Arial"/>
          <w:sz w:val="18"/>
          <w:szCs w:val="18"/>
          <w:color w:val="auto"/>
        </w:rPr>
      </w:pPr>
    </w:p>
    <w:p>
      <w:pPr>
        <w:ind w:left="900" w:right="800" w:hanging="291"/>
        <w:spacing w:after="0" w:line="26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Competitor analysis</w:t>
      </w:r>
      <w:r>
        <w:rPr>
          <w:rFonts w:ascii="Arial" w:cs="Arial" w:eastAsia="Arial" w:hAnsi="Arial"/>
          <w:sz w:val="18"/>
          <w:szCs w:val="18"/>
          <w:color w:val="auto"/>
        </w:rPr>
        <w:t>: We monitor market data and analyst reports on an ongoing basis to stay at the forefront of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demand and quickly address any applicable gaps within the topics offered.</w:t>
      </w:r>
    </w:p>
    <w:p>
      <w:pPr>
        <w:spacing w:after="0" w:line="178" w:lineRule="exact"/>
        <w:rPr>
          <w:sz w:val="20"/>
          <w:szCs w:val="20"/>
          <w:color w:val="auto"/>
        </w:rPr>
      </w:pPr>
    </w:p>
    <w:p>
      <w:pPr>
        <w:ind w:left="300" w:right="340"/>
        <w:spacing w:after="0"/>
        <w:rPr>
          <w:sz w:val="20"/>
          <w:szCs w:val="20"/>
          <w:color w:val="auto"/>
        </w:rPr>
      </w:pPr>
      <w:r>
        <w:rPr>
          <w:rFonts w:ascii="Arial" w:cs="Arial" w:eastAsia="Arial" w:hAnsi="Arial"/>
          <w:sz w:val="18"/>
          <w:szCs w:val="18"/>
          <w:color w:val="auto"/>
        </w:rPr>
        <w:t>As of June 30, 2021, the UB course catalog included over 74,000 hours of technical content and over 28,000 hours of business, personal, and professional skills content. On average, in 2021, over 460 new courses are added each month. Our overall UB course catalog has increased from fewer than 2,500 courses in 2017 to over 11,000 today.</w:t>
      </w:r>
    </w:p>
    <w:p>
      <w:pPr>
        <w:spacing w:after="0" w:line="203" w:lineRule="exact"/>
        <w:rPr>
          <w:sz w:val="20"/>
          <w:szCs w:val="20"/>
          <w:color w:val="auto"/>
        </w:rPr>
      </w:pPr>
    </w:p>
    <w:p>
      <w:pPr>
        <w:ind w:left="300" w:right="380"/>
        <w:spacing w:after="0" w:line="238" w:lineRule="auto"/>
        <w:rPr>
          <w:sz w:val="20"/>
          <w:szCs w:val="20"/>
          <w:color w:val="auto"/>
        </w:rPr>
      </w:pPr>
      <w:r>
        <w:rPr>
          <w:rFonts w:ascii="Arial" w:cs="Arial" w:eastAsia="Arial" w:hAnsi="Arial"/>
          <w:sz w:val="18"/>
          <w:szCs w:val="18"/>
          <w:color w:val="auto"/>
        </w:rPr>
        <w:t>We offer UB customers learning paths, which allow organizations to assemble customized learning series made up of Udemy courses, the organization’s own material, and links to external resources. Learning paths are only visible within the organization that creates them and offer a unique benefit to administrators and employees. As of June 30, 2021, our enterprise customers have generated over 360,000 learning paths.</w:t>
      </w:r>
    </w:p>
    <w:p>
      <w:pPr>
        <w:spacing w:after="0" w:line="205" w:lineRule="exact"/>
        <w:rPr>
          <w:sz w:val="20"/>
          <w:szCs w:val="20"/>
          <w:color w:val="auto"/>
        </w:rPr>
      </w:pPr>
    </w:p>
    <w:p>
      <w:pPr>
        <w:ind w:left="300" w:right="540"/>
        <w:spacing w:after="0" w:line="238" w:lineRule="auto"/>
        <w:rPr>
          <w:sz w:val="20"/>
          <w:szCs w:val="20"/>
          <w:color w:val="auto"/>
        </w:rPr>
      </w:pPr>
      <w:r>
        <w:rPr>
          <w:rFonts w:ascii="Arial" w:cs="Arial" w:eastAsia="Arial" w:hAnsi="Arial"/>
          <w:sz w:val="18"/>
          <w:szCs w:val="18"/>
          <w:color w:val="auto"/>
        </w:rPr>
        <w:t>We also offer UB customers a comprehensive analytics dashboard and other powerful tools where our customers can gain high visibility into the progress, areas of focus, and feedback of their employees. This strong set of tools, which includes our learning playbooks, helps our UB customers better understand and optimize learning experiences for their employees and ensure they are delivering a strong and measurable return on their investment in learning skills.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offer our instructors</w:t>
      </w:r>
    </w:p>
    <w:p>
      <w:pPr>
        <w:spacing w:after="0" w:line="126" w:lineRule="exact"/>
        <w:rPr>
          <w:sz w:val="20"/>
          <w:szCs w:val="20"/>
          <w:color w:val="auto"/>
        </w:rPr>
      </w:pPr>
    </w:p>
    <w:p>
      <w:pPr>
        <w:ind w:left="300" w:right="340"/>
        <w:spacing w:after="0" w:line="236" w:lineRule="auto"/>
        <w:rPr>
          <w:sz w:val="20"/>
          <w:szCs w:val="20"/>
          <w:color w:val="auto"/>
        </w:rPr>
      </w:pPr>
      <w:r>
        <w:rPr>
          <w:rFonts w:ascii="Arial" w:cs="Arial" w:eastAsia="Arial" w:hAnsi="Arial"/>
          <w:sz w:val="18"/>
          <w:szCs w:val="18"/>
          <w:color w:val="auto"/>
        </w:rPr>
        <w:t>We offer instructors from around the world access to a global audience of over 44 million learners. Our model allows instructors who elect to charge for courses to share directly in the economic upside of the course content they contribute and the growth of our platform. In 2020, our paid instructors earned $161.4 million from Udemy for their courses, with average paid instructor earnings of $2,950 and over 9,000 global instructors receiving more than $1,000 in earnings. In the six months ended June 30, 2021, our paid instructors earned $86.8 million from Udemy for their courses, with average paid instructor earnings of $1,574 and over 6,000 global instructors receiving more than $1,000 in earnings. The breadth of instructors and courses contributes to the wide variety of content topics available on our platform, as well as meaningful depth within most content categories. We believe that this combination of breadth and depth helps foster competition and choice on our platform and attracts learners and UB customers.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40"/>
        <w:spacing w:after="0" w:line="238" w:lineRule="auto"/>
        <w:rPr>
          <w:sz w:val="20"/>
          <w:szCs w:val="20"/>
          <w:color w:val="auto"/>
        </w:rPr>
      </w:pPr>
      <w:r>
        <w:rPr>
          <w:rFonts w:ascii="Arial" w:cs="Arial" w:eastAsia="Arial" w:hAnsi="Arial"/>
          <w:sz w:val="18"/>
          <w:szCs w:val="18"/>
          <w:color w:val="auto"/>
        </w:rPr>
        <w:t>We enable our instructors to drive innovation and ongoing engagement on our platform. Instructors can use platform insights, review feedback from learners, and harness analytics dashboards to manage their course content, brand, and course marketing. Our performance marketing engine identifies and selects the best courses to be featured to each learner around the world. In addition, we offer instructors insight on the revenue opportunity and existing content for any given topic, and we provide auto-generated translated captions from English to Spanish, Portuguese, French, German, Italian, and Polish.</w:t>
      </w:r>
    </w:p>
    <w:p>
      <w:pPr>
        <w:spacing w:after="0" w:line="202" w:lineRule="exact"/>
        <w:rPr>
          <w:sz w:val="20"/>
          <w:szCs w:val="20"/>
          <w:color w:val="auto"/>
        </w:rPr>
      </w:pPr>
    </w:p>
    <w:p>
      <w:pPr>
        <w:ind w:left="300" w:right="300"/>
        <w:spacing w:after="0" w:line="237" w:lineRule="auto"/>
        <w:rPr>
          <w:sz w:val="20"/>
          <w:szCs w:val="20"/>
          <w:color w:val="auto"/>
        </w:rPr>
      </w:pPr>
      <w:r>
        <w:rPr>
          <w:rFonts w:ascii="Arial" w:cs="Arial" w:eastAsia="Arial" w:hAnsi="Arial"/>
          <w:sz w:val="18"/>
          <w:szCs w:val="18"/>
          <w:color w:val="auto"/>
        </w:rPr>
        <w:t>When an instructor’s course is added to the UB catalog, instructors are subject to an exclusivity clause for the use of their content on our platform, pursuant to which instructors agree, subject to limited exceptions, not to offer any on-demand content, such as pre-recorded courses, on any competing platform in a way that directly competes with or impairs the sales of such content on our platform. This exclusivity clause is effective for so long as an instructor’s content is included in the UB catalog, and we may continue to include content in the UB catalog for up to 12 months after an instructor elects to opt out of the UB catalog. We believe these exclusivity arrangements increase the value of our offerings by increasing the amount of unique content on Udemy and helping maintain our robust roster of expert instructors.</w:t>
      </w:r>
    </w:p>
    <w:p>
      <w:pPr>
        <w:spacing w:after="0" w:line="203" w:lineRule="exact"/>
        <w:rPr>
          <w:sz w:val="20"/>
          <w:szCs w:val="20"/>
          <w:color w:val="auto"/>
        </w:rPr>
      </w:pPr>
    </w:p>
    <w:p>
      <w:pPr>
        <w:ind w:left="300" w:right="780"/>
        <w:spacing w:after="0" w:line="246" w:lineRule="auto"/>
        <w:rPr>
          <w:sz w:val="20"/>
          <w:szCs w:val="20"/>
          <w:color w:val="auto"/>
        </w:rPr>
      </w:pPr>
      <w:r>
        <w:rPr>
          <w:rFonts w:ascii="Arial" w:cs="Arial" w:eastAsia="Arial" w:hAnsi="Arial"/>
          <w:sz w:val="18"/>
          <w:szCs w:val="18"/>
          <w:color w:val="auto"/>
        </w:rPr>
        <w:t>We believe that, on average, the value we offer instructors ultimately delivers a far higher return on investment relative to other content creation and online learning competitors.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competitive strengths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our business model benefits from several competitive advantages:</w:t>
      </w:r>
    </w:p>
    <w:p>
      <w:pPr>
        <w:spacing w:after="0" w:line="190" w:lineRule="exact"/>
        <w:rPr>
          <w:sz w:val="20"/>
          <w:szCs w:val="20"/>
          <w:color w:val="auto"/>
        </w:rPr>
      </w:pPr>
    </w:p>
    <w:p>
      <w:pPr>
        <w:ind w:left="300" w:right="280"/>
        <w:spacing w:after="0" w:line="242" w:lineRule="auto"/>
        <w:rPr>
          <w:sz w:val="20"/>
          <w:szCs w:val="20"/>
          <w:color w:val="auto"/>
        </w:rPr>
      </w:pPr>
      <w:r>
        <w:rPr>
          <w:rFonts w:ascii="Arial" w:cs="Arial" w:eastAsia="Arial" w:hAnsi="Arial"/>
          <w:sz w:val="18"/>
          <w:szCs w:val="18"/>
          <w:b w:val="1"/>
          <w:bCs w:val="1"/>
          <w:i w:val="1"/>
          <w:iCs w:val="1"/>
          <w:color w:val="auto"/>
        </w:rPr>
        <w:t>Global distribution and reach with strong brand value</w:t>
      </w:r>
      <w:r>
        <w:rPr>
          <w:rFonts w:ascii="Arial" w:cs="Arial" w:eastAsia="Arial" w:hAnsi="Arial"/>
          <w:sz w:val="18"/>
          <w:szCs w:val="18"/>
          <w:color w:val="auto"/>
        </w:rPr>
        <w:t>: In 2020 and during the six months ended June 30, 2021, 61% and 61%,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of our revenue was generated outside North America. Because our online platform is available globally, curious learners and organizations can easily test our content. As these new learners and organizations begin to engage with us, we then have the opportunity to quickly and efficiently expand into these new markets by focusing our marketing, advertising, pricing, and language customization resources and expanding our payment options, which in turn allows us to grow our base of individual learners and organizations on an ongoing basis and attract new instructors who create native language courses.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Robust content generation engine</w:t>
      </w:r>
      <w:r>
        <w:rPr>
          <w:rFonts w:ascii="Arial" w:cs="Arial" w:eastAsia="Arial" w:hAnsi="Arial"/>
          <w:sz w:val="18"/>
          <w:szCs w:val="18"/>
          <w:color w:val="auto"/>
        </w:rPr>
        <w:t>:</w:t>
      </w:r>
    </w:p>
    <w:p>
      <w:pPr>
        <w:spacing w:after="0" w:line="121" w:lineRule="exact"/>
        <w:rPr>
          <w:sz w:val="20"/>
          <w:szCs w:val="20"/>
          <w:color w:val="auto"/>
        </w:rPr>
      </w:pPr>
    </w:p>
    <w:p>
      <w:pPr>
        <w:ind w:left="900" w:right="440" w:hanging="291"/>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Premium quality</w:t>
      </w:r>
      <w:r>
        <w:rPr>
          <w:rFonts w:ascii="Arial" w:cs="Arial" w:eastAsia="Arial" w:hAnsi="Arial"/>
          <w:sz w:val="18"/>
          <w:szCs w:val="18"/>
          <w:color w:val="auto"/>
        </w:rPr>
        <w:t>: Our platform encourages instructors to react constantly to learner feedback by continuously updating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courses. This continuous updating, along with personalized recommendations and advanced search capabilities, provides learners with the most up-to-date, high-quality, and relevant content.</w:t>
      </w:r>
    </w:p>
    <w:p>
      <w:pPr>
        <w:spacing w:after="0" w:line="82" w:lineRule="exact"/>
        <w:rPr>
          <w:rFonts w:ascii="Arial" w:cs="Arial" w:eastAsia="Arial" w:hAnsi="Arial"/>
          <w:sz w:val="18"/>
          <w:szCs w:val="18"/>
          <w:color w:val="auto"/>
        </w:rPr>
      </w:pPr>
    </w:p>
    <w:p>
      <w:pPr>
        <w:ind w:left="900" w:right="320" w:hanging="291"/>
        <w:spacing w:after="0" w:line="24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Relevance and speed to market</w:t>
      </w:r>
      <w:r>
        <w:rPr>
          <w:rFonts w:ascii="Arial" w:cs="Arial" w:eastAsia="Arial" w:hAnsi="Arial"/>
          <w:sz w:val="18"/>
          <w:szCs w:val="18"/>
          <w:color w:val="auto"/>
        </w:rPr>
        <w:t>: Our marketplace model motivates instructors to provide relevant content to learners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gain a “first-mover” advantage in attracting learners and enrollments to their courses. We believe these structural inducements, coupled with our aligned incentive model, help drive our instructors to update their courses at a much higher rate than courses offered through competitors with a traditional publisher model. For example, 80% of courses in the UB course catalog were updated in the last two years.</w:t>
      </w:r>
    </w:p>
    <w:p>
      <w:pPr>
        <w:spacing w:after="0" w:line="90" w:lineRule="exact"/>
        <w:rPr>
          <w:rFonts w:ascii="Arial" w:cs="Arial" w:eastAsia="Arial" w:hAnsi="Arial"/>
          <w:sz w:val="18"/>
          <w:szCs w:val="18"/>
          <w:color w:val="auto"/>
        </w:rPr>
      </w:pPr>
    </w:p>
    <w:p>
      <w:pPr>
        <w:ind w:left="900" w:right="520" w:hanging="291"/>
        <w:spacing w:after="0" w:line="24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Breadth of content</w:t>
      </w:r>
      <w:r>
        <w:rPr>
          <w:rFonts w:ascii="Arial" w:cs="Arial" w:eastAsia="Arial" w:hAnsi="Arial"/>
          <w:sz w:val="18"/>
          <w:szCs w:val="18"/>
          <w:color w:val="auto"/>
        </w:rPr>
        <w:t>: Many of our competitors offer limited course catalogs specializing in a specific category.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over 183,000 courses (over 17,700 of which were offered for free as of June 30, 2021), including over 70,000 courses in languages other than English. We also offer a broad set of personal enrichment courses in the wellness, music, and lifestyle categories, among others. On average during the first half of 2021, instructors published more than 5,000 courses a month on the Udemy platform.</w:t>
      </w:r>
    </w:p>
    <w:p>
      <w:pPr>
        <w:spacing w:after="0" w:line="90" w:lineRule="exact"/>
        <w:rPr>
          <w:rFonts w:ascii="Arial" w:cs="Arial" w:eastAsia="Arial" w:hAnsi="Arial"/>
          <w:sz w:val="18"/>
          <w:szCs w:val="18"/>
          <w:color w:val="auto"/>
        </w:rPr>
      </w:pPr>
    </w:p>
    <w:p>
      <w:pPr>
        <w:ind w:left="900" w:right="280" w:hanging="291"/>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Affordability</w:t>
      </w:r>
      <w:r>
        <w:rPr>
          <w:rFonts w:ascii="Arial" w:cs="Arial" w:eastAsia="Arial" w:hAnsi="Arial"/>
          <w:sz w:val="18"/>
          <w:szCs w:val="18"/>
          <w:color w:val="auto"/>
        </w:rPr>
        <w:t>: Our ML pricing algorithms determine how much we charge for our courses in our marketplace on a per-country</w:t>
      </w:r>
      <w:r>
        <w:rPr>
          <w:rFonts w:ascii="Arial" w:cs="Arial" w:eastAsia="Arial" w:hAnsi="Arial"/>
          <w:sz w:val="18"/>
          <w:szCs w:val="18"/>
          <w:i w:val="1"/>
          <w:iCs w:val="1"/>
          <w:color w:val="auto"/>
        </w:rPr>
        <w:t xml:space="preserve"> </w:t>
      </w:r>
      <w:r>
        <w:rPr>
          <w:rFonts w:ascii="Arial" w:cs="Arial" w:eastAsia="Arial" w:hAnsi="Arial"/>
          <w:sz w:val="18"/>
          <w:szCs w:val="18"/>
          <w:color w:val="auto"/>
        </w:rPr>
        <w:t>basis, taking into account dozens of course characteristics, including category of content, hours of content, course rating, and popularity.</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right="380"/>
        <w:spacing w:after="0" w:line="247" w:lineRule="auto"/>
        <w:rPr>
          <w:sz w:val="20"/>
          <w:szCs w:val="20"/>
          <w:color w:val="auto"/>
        </w:rPr>
      </w:pPr>
      <w:r>
        <w:rPr>
          <w:rFonts w:ascii="Arial" w:cs="Arial" w:eastAsia="Arial" w:hAnsi="Arial"/>
          <w:sz w:val="18"/>
          <w:szCs w:val="18"/>
          <w:b w:val="1"/>
          <w:bCs w:val="1"/>
          <w:i w:val="1"/>
          <w:iCs w:val="1"/>
          <w:color w:val="auto"/>
        </w:rPr>
        <w:t>Self-reinforcing flywheel with powerful network effects</w:t>
      </w:r>
      <w:r>
        <w:rPr>
          <w:rFonts w:ascii="Arial" w:cs="Arial" w:eastAsia="Arial" w:hAnsi="Arial"/>
          <w:sz w:val="18"/>
          <w:szCs w:val="18"/>
          <w:color w:val="auto"/>
        </w:rPr>
        <w:t>: We believe the growing number of individual learners and organizations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attracts instructors who recognize that our platform and global audience can create new income streams and help support their families and local communities. In turn, the increasing number of relevant, high-quality, and up-to-date courses offered by world-class experts and practitioners attracts more individual learners and organizations.</w:t>
      </w:r>
    </w:p>
    <w:p>
      <w:pPr>
        <w:spacing w:after="0" w:line="196" w:lineRule="exact"/>
        <w:rPr>
          <w:sz w:val="20"/>
          <w:szCs w:val="20"/>
          <w:color w:val="auto"/>
        </w:rPr>
      </w:pPr>
    </w:p>
    <w:p>
      <w:pPr>
        <w:jc w:val="both"/>
        <w:ind w:left="300" w:right="260"/>
        <w:spacing w:after="0"/>
        <w:rPr>
          <w:sz w:val="20"/>
          <w:szCs w:val="20"/>
          <w:color w:val="auto"/>
        </w:rPr>
      </w:pPr>
      <w:r>
        <w:rPr>
          <w:rFonts w:ascii="Arial" w:cs="Arial" w:eastAsia="Arial" w:hAnsi="Arial"/>
          <w:sz w:val="18"/>
          <w:szCs w:val="18"/>
          <w:color w:val="auto"/>
        </w:rPr>
        <w:t>Our direct-to-consumer offering is synergistic with UB. As individual learners experience the quality and benefits of Udemy’s platform, they recommend Udemy to their organizations. We have been very successful at driving high-converting leads to UB, with over 60% of leads coming from our direct-to-consumer platform in 2020.</w:t>
      </w:r>
    </w:p>
    <w:p>
      <w:pPr>
        <w:spacing w:after="0" w:line="181" w:lineRule="exact"/>
        <w:rPr>
          <w:sz w:val="20"/>
          <w:szCs w:val="20"/>
          <w:color w:val="auto"/>
        </w:rPr>
      </w:pPr>
    </w:p>
    <w:p>
      <w:pPr>
        <w:ind w:left="300" w:right="360"/>
        <w:spacing w:after="0" w:line="247" w:lineRule="auto"/>
        <w:rPr>
          <w:sz w:val="20"/>
          <w:szCs w:val="20"/>
          <w:color w:val="auto"/>
        </w:rPr>
      </w:pPr>
      <w:r>
        <w:rPr>
          <w:rFonts w:ascii="Arial" w:cs="Arial" w:eastAsia="Arial" w:hAnsi="Arial"/>
          <w:sz w:val="18"/>
          <w:szCs w:val="18"/>
          <w:b w:val="1"/>
          <w:bCs w:val="1"/>
          <w:i w:val="1"/>
          <w:iCs w:val="1"/>
          <w:color w:val="auto"/>
        </w:rPr>
        <w:t>Powerful data insights and analytics</w:t>
      </w:r>
      <w:r>
        <w:rPr>
          <w:rFonts w:ascii="Arial" w:cs="Arial" w:eastAsia="Arial" w:hAnsi="Arial"/>
          <w:sz w:val="18"/>
          <w:szCs w:val="18"/>
          <w:color w:val="auto"/>
        </w:rPr>
        <w:t>: With over 500 million unique visitors from 2018 through 2020, more than 594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course enrollments, and in 2020 alone, almost 11 billion minutes of learning, we believe that the volume of the data our platform collects provides meaningful insights into the behaviors and needs of our learners and instructors. We leverage that data to provide personalization for learners as well as to promote high-quality and relevant content from instructors.</w:t>
      </w:r>
    </w:p>
    <w:p>
      <w:pPr>
        <w:spacing w:after="0" w:line="196" w:lineRule="exact"/>
        <w:rPr>
          <w:sz w:val="20"/>
          <w:szCs w:val="20"/>
          <w:color w:val="auto"/>
        </w:rPr>
      </w:pPr>
    </w:p>
    <w:p>
      <w:pPr>
        <w:ind w:left="300" w:right="260"/>
        <w:spacing w:after="0" w:line="261" w:lineRule="auto"/>
        <w:rPr>
          <w:sz w:val="20"/>
          <w:szCs w:val="20"/>
          <w:color w:val="auto"/>
        </w:rPr>
      </w:pPr>
      <w:r>
        <w:rPr>
          <w:rFonts w:ascii="Arial" w:cs="Arial" w:eastAsia="Arial" w:hAnsi="Arial"/>
          <w:sz w:val="17"/>
          <w:szCs w:val="17"/>
          <w:color w:val="auto"/>
        </w:rPr>
        <w:t>We capture user behavioral data on the learning objectives and interests of our learners to better address their needs and recommend the right courses. We also analyze enrollment data, market insights, and feedback from learners to identify new topics of focus within our content catalog. We share this information with our instructors in real time so they can improve their course offerings.</w:t>
      </w:r>
    </w:p>
    <w:p>
      <w:pPr>
        <w:spacing w:after="0" w:line="164" w:lineRule="exact"/>
        <w:rPr>
          <w:sz w:val="20"/>
          <w:szCs w:val="20"/>
          <w:color w:val="auto"/>
        </w:rPr>
      </w:pPr>
    </w:p>
    <w:p>
      <w:pPr>
        <w:ind w:left="300" w:right="500"/>
        <w:spacing w:after="0" w:line="253" w:lineRule="auto"/>
        <w:rPr>
          <w:sz w:val="20"/>
          <w:szCs w:val="20"/>
          <w:color w:val="auto"/>
        </w:rPr>
      </w:pPr>
      <w:r>
        <w:rPr>
          <w:rFonts w:ascii="Arial" w:cs="Arial" w:eastAsia="Arial" w:hAnsi="Arial"/>
          <w:sz w:val="18"/>
          <w:szCs w:val="18"/>
          <w:b w:val="1"/>
          <w:bCs w:val="1"/>
          <w:i w:val="1"/>
          <w:iCs w:val="1"/>
          <w:color w:val="auto"/>
        </w:rPr>
        <w:t>Flexible technology platform</w:t>
      </w:r>
      <w:r>
        <w:rPr>
          <w:rFonts w:ascii="Arial" w:cs="Arial" w:eastAsia="Arial" w:hAnsi="Arial"/>
          <w:sz w:val="18"/>
          <w:szCs w:val="18"/>
          <w:color w:val="auto"/>
        </w:rPr>
        <w:t>: Our technology platform is modern, agile, accessible from a variety of online and mobile channels,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built to scale with our global growth. We use advanced technology applications, such as personalized promotions, lifecycle marketing, and content personalization, to help tailor our platform for our learners.</w:t>
      </w:r>
    </w:p>
    <w:p>
      <w:pPr>
        <w:spacing w:after="0" w:line="191" w:lineRule="exact"/>
        <w:rPr>
          <w:sz w:val="20"/>
          <w:szCs w:val="20"/>
          <w:color w:val="auto"/>
        </w:rPr>
      </w:pPr>
    </w:p>
    <w:p>
      <w:pPr>
        <w:ind w:left="300" w:right="220"/>
        <w:spacing w:after="0" w:line="238" w:lineRule="auto"/>
        <w:rPr>
          <w:sz w:val="20"/>
          <w:szCs w:val="20"/>
          <w:color w:val="auto"/>
        </w:rPr>
      </w:pPr>
      <w:r>
        <w:rPr>
          <w:rFonts w:ascii="Arial" w:cs="Arial" w:eastAsia="Arial" w:hAnsi="Arial"/>
          <w:sz w:val="18"/>
          <w:szCs w:val="18"/>
          <w:color w:val="auto"/>
        </w:rPr>
        <w:t>Our platform’s ability to provide a personalized experience is further enhanced by the ML methodologies used to develop the algorithms included in our technology, which allow us to continuously and automatically personalize each learner’s experience. We regularly run tests to determine which product features, course recommendations, prices, and messaging will drive the best outcomes for our learners and Udemy as a whole. In addition, we have built our technology to be flexible to enable us to continuously test and add new features, such as interactive exercises and immersive learning experiences.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growth strategies</w:t>
      </w:r>
    </w:p>
    <w:p>
      <w:pPr>
        <w:spacing w:after="0" w:line="130" w:lineRule="exact"/>
        <w:rPr>
          <w:sz w:val="20"/>
          <w:szCs w:val="20"/>
          <w:color w:val="auto"/>
        </w:rPr>
      </w:pPr>
    </w:p>
    <w:p>
      <w:pPr>
        <w:ind w:left="300" w:right="520"/>
        <w:spacing w:after="0" w:line="246" w:lineRule="auto"/>
        <w:rPr>
          <w:sz w:val="20"/>
          <w:szCs w:val="20"/>
          <w:color w:val="auto"/>
        </w:rPr>
      </w:pPr>
      <w:r>
        <w:rPr>
          <w:rFonts w:ascii="Arial" w:cs="Arial" w:eastAsia="Arial" w:hAnsi="Arial"/>
          <w:sz w:val="18"/>
          <w:szCs w:val="18"/>
          <w:color w:val="auto"/>
        </w:rPr>
        <w:t>We are still in the early stages of our long-term growth strategy. We expect to continue expanding our consumer and UB customer base, instructor network, and content catalog while increasing our market opportunities through the following strategies: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Accelerate the growth of our enterprise business through</w:t>
      </w:r>
      <w:r>
        <w:rPr>
          <w:rFonts w:ascii="Arial" w:cs="Arial" w:eastAsia="Arial" w:hAnsi="Arial"/>
          <w:sz w:val="18"/>
          <w:szCs w:val="18"/>
          <w:b w:val="1"/>
          <w:bCs w:val="1"/>
          <w:color w:val="auto"/>
        </w:rPr>
        <w:t>:</w:t>
      </w:r>
    </w:p>
    <w:p>
      <w:pPr>
        <w:spacing w:after="0" w:line="121" w:lineRule="exact"/>
        <w:rPr>
          <w:sz w:val="20"/>
          <w:szCs w:val="20"/>
          <w:color w:val="auto"/>
        </w:rPr>
      </w:pPr>
    </w:p>
    <w:p>
      <w:pPr>
        <w:ind w:left="900" w:right="480" w:hanging="291"/>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Successfully executing on our land-and-expand strategy</w:t>
      </w:r>
      <w:r>
        <w:rPr>
          <w:rFonts w:ascii="Arial" w:cs="Arial" w:eastAsia="Arial" w:hAnsi="Arial"/>
          <w:sz w:val="18"/>
          <w:szCs w:val="18"/>
          <w:color w:val="auto"/>
        </w:rPr>
        <w:t>: Our strategy focuses on acquiring new customers and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our relationships with existing customers, beginning with either individual users or departmental deployments. Historically, we have expanded from individual to department to multi-department sales as UB’s value is proven and UB customers identify additional use cases. With fewer than 10% of total available seats contracted in our customer base, we consequently see a large opportunity for growth. We intend to continue to expand our sales team footprint globally and to improve our upselling tactics with the assistance of better tools and systems. We have also developed a strong outbound lead-generation process with effective account-based marketing operations, allowing us to target, develop, and nurture key accounts in large organizations.</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00" w:right="300" w:hanging="291"/>
        <w:spacing w:after="0" w:line="24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Improving quality and relevance of our courses</w:t>
      </w:r>
      <w:r>
        <w:rPr>
          <w:rFonts w:ascii="Arial" w:cs="Arial" w:eastAsia="Arial" w:hAnsi="Arial"/>
          <w:sz w:val="18"/>
          <w:szCs w:val="18"/>
          <w:color w:val="auto"/>
        </w:rPr>
        <w:t>: We curate our UB catalog by selecting the highest-rated and most engaging</w:t>
      </w:r>
      <w:r>
        <w:rPr>
          <w:rFonts w:ascii="Arial" w:cs="Arial" w:eastAsia="Arial" w:hAnsi="Arial"/>
          <w:sz w:val="18"/>
          <w:szCs w:val="18"/>
          <w:i w:val="1"/>
          <w:iCs w:val="1"/>
          <w:color w:val="auto"/>
        </w:rPr>
        <w:t xml:space="preserve"> </w:t>
      </w:r>
      <w:r>
        <w:rPr>
          <w:rFonts w:ascii="Arial" w:cs="Arial" w:eastAsia="Arial" w:hAnsi="Arial"/>
          <w:sz w:val="18"/>
          <w:szCs w:val="18"/>
          <w:color w:val="auto"/>
        </w:rPr>
        <w:t>courses from our consumer business. We intend to continue leveraging our large platform to source high-quality and relevant curricula. We will also continue to improve the speed and efficiency of our curation processes, enabling us to quickly discern the content most relevant to our UB customers.</w:t>
      </w:r>
    </w:p>
    <w:p>
      <w:pPr>
        <w:spacing w:after="0" w:line="86" w:lineRule="exact"/>
        <w:rPr>
          <w:rFonts w:ascii="Arial" w:cs="Arial" w:eastAsia="Arial" w:hAnsi="Arial"/>
          <w:sz w:val="18"/>
          <w:szCs w:val="18"/>
          <w:color w:val="auto"/>
        </w:rPr>
      </w:pPr>
    </w:p>
    <w:p>
      <w:pPr>
        <w:ind w:left="900" w:right="260" w:hanging="291"/>
        <w:spacing w:after="0" w:line="23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Integrating our UB offering with employees’ workflow</w:t>
      </w:r>
      <w:r>
        <w:rPr>
          <w:rFonts w:ascii="Arial" w:cs="Arial" w:eastAsia="Arial" w:hAnsi="Arial"/>
          <w:sz w:val="18"/>
          <w:szCs w:val="18"/>
          <w:color w:val="auto"/>
        </w:rPr>
        <w:t>: We provide easy-to-implement learning playbooks, which enable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combine UB courses with their own in-house training to create blended learning programs. UB learners can also take advantage of our personalized content recommendations, which we derive from the data we collect. We currently integrate with existing employee learning-and-development and HR workflows, including our customers’ learning management systems and learning experience platforms, to help enable a more robust offering for UB learners and greater employer visibility into learning. Examples of these integrations include Workday, SAP SuccessFactors, Slack, and ServiceNow. Integrations enable UB customers to incorporate learning in the flow of work: learners can discover, search, and consume our UB catalog. Leaders can sync, track, and report learning progress for employees across other HR systems and also encourage learning across the organization through reminders and sharing on existing company messaging platforms. Looking forward, we intend to expand our offering to integrate with additional employee learning-and-development and HR workflows, and to introduce additional services for employees, thus expanding usage within our UB customers.</w:t>
      </w:r>
    </w:p>
    <w:p>
      <w:pPr>
        <w:spacing w:after="0" w:line="91" w:lineRule="exact"/>
        <w:rPr>
          <w:rFonts w:ascii="Arial" w:cs="Arial" w:eastAsia="Arial" w:hAnsi="Arial"/>
          <w:sz w:val="18"/>
          <w:szCs w:val="18"/>
          <w:color w:val="auto"/>
        </w:rPr>
      </w:pPr>
    </w:p>
    <w:p>
      <w:pPr>
        <w:ind w:left="900" w:right="360" w:hanging="291"/>
        <w:spacing w:after="0" w:line="24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Deliver immersive learning experiences</w:t>
      </w:r>
      <w:r>
        <w:rPr>
          <w:rFonts w:ascii="Arial" w:cs="Arial" w:eastAsia="Arial" w:hAnsi="Arial"/>
          <w:sz w:val="18"/>
          <w:szCs w:val="18"/>
          <w:color w:val="auto"/>
        </w:rPr>
        <w:t>: Our platform currently offers powerful learning experiences including practice tests,</w:t>
      </w:r>
      <w:r>
        <w:rPr>
          <w:rFonts w:ascii="Arial" w:cs="Arial" w:eastAsia="Arial" w:hAnsi="Arial"/>
          <w:sz w:val="18"/>
          <w:szCs w:val="18"/>
          <w:i w:val="1"/>
          <w:iCs w:val="1"/>
          <w:color w:val="auto"/>
        </w:rPr>
        <w:t xml:space="preserve"> </w:t>
      </w:r>
      <w:r>
        <w:rPr>
          <w:rFonts w:ascii="Arial" w:cs="Arial" w:eastAsia="Arial" w:hAnsi="Arial"/>
          <w:sz w:val="18"/>
          <w:szCs w:val="18"/>
          <w:color w:val="auto"/>
        </w:rPr>
        <w:t>coding exercises, and quizzes, which permit learners to prepare for certification exams and better retain what they have learned. We intend to expand our offerings to include deeper skills assessments, labs, and cohort-based learning. We will also consider acquisitions to expand the immersive learning experiences we offer, with a goal of improving learner outcomes and ultimately increasing retention.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 learner retention through</w:t>
      </w:r>
      <w:r>
        <w:rPr>
          <w:rFonts w:ascii="Arial" w:cs="Arial" w:eastAsia="Arial" w:hAnsi="Arial"/>
          <w:sz w:val="18"/>
          <w:szCs w:val="18"/>
          <w:b w:val="1"/>
          <w:bCs w:val="1"/>
          <w:color w:val="auto"/>
        </w:rPr>
        <w:t>:</w:t>
      </w:r>
    </w:p>
    <w:p>
      <w:pPr>
        <w:spacing w:after="0" w:line="121" w:lineRule="exact"/>
        <w:rPr>
          <w:sz w:val="20"/>
          <w:szCs w:val="20"/>
          <w:color w:val="auto"/>
        </w:rPr>
      </w:pPr>
    </w:p>
    <w:p>
      <w:pPr>
        <w:ind w:left="900" w:right="220" w:hanging="291"/>
        <w:spacing w:after="0" w:line="26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Building a global personalization engine: </w:t>
      </w:r>
      <w:r>
        <w:rPr>
          <w:rFonts w:ascii="Arial" w:cs="Arial" w:eastAsia="Arial" w:hAnsi="Arial"/>
          <w:sz w:val="18"/>
          <w:szCs w:val="18"/>
          <w:color w:val="auto"/>
        </w:rPr>
        <w:t>Since the beginning of 2020, we have invested considerable resources in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a personalization-based technology platform, which includes our:</w:t>
      </w:r>
    </w:p>
    <w:p>
      <w:pPr>
        <w:spacing w:after="0" w:line="83" w:lineRule="exact"/>
        <w:rPr>
          <w:rFonts w:ascii="Arial" w:cs="Arial" w:eastAsia="Arial" w:hAnsi="Arial"/>
          <w:sz w:val="18"/>
          <w:szCs w:val="18"/>
          <w:color w:val="auto"/>
        </w:rPr>
      </w:pPr>
    </w:p>
    <w:p>
      <w:pPr>
        <w:ind w:left="1440" w:hanging="291"/>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State-of-the-art eventing platform to track and store every learner interaction with our site and apps;</w:t>
      </w:r>
    </w:p>
    <w:p>
      <w:pPr>
        <w:spacing w:after="0" w:line="117" w:lineRule="exact"/>
        <w:rPr>
          <w:rFonts w:ascii="Arial" w:cs="Arial" w:eastAsia="Arial" w:hAnsi="Arial"/>
          <w:sz w:val="18"/>
          <w:szCs w:val="18"/>
          <w:color w:val="auto"/>
        </w:rPr>
      </w:pPr>
    </w:p>
    <w:p>
      <w:pPr>
        <w:ind w:left="1440" w:hanging="291"/>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Customer data platform to structure and analyze all of our learner data;</w:t>
      </w:r>
    </w:p>
    <w:p>
      <w:pPr>
        <w:spacing w:after="0" w:line="117" w:lineRule="exact"/>
        <w:rPr>
          <w:rFonts w:ascii="Arial" w:cs="Arial" w:eastAsia="Arial" w:hAnsi="Arial"/>
          <w:sz w:val="18"/>
          <w:szCs w:val="18"/>
          <w:color w:val="auto"/>
        </w:rPr>
      </w:pPr>
    </w:p>
    <w:p>
      <w:pPr>
        <w:ind w:left="1440" w:hanging="291"/>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Lifecycle marketing platform to develop, train, and operationalize personalization algorithms; and</w:t>
      </w:r>
    </w:p>
    <w:p>
      <w:pPr>
        <w:spacing w:after="0" w:line="117" w:lineRule="exact"/>
        <w:rPr>
          <w:rFonts w:ascii="Arial" w:cs="Arial" w:eastAsia="Arial" w:hAnsi="Arial"/>
          <w:sz w:val="18"/>
          <w:szCs w:val="18"/>
          <w:color w:val="auto"/>
        </w:rPr>
      </w:pPr>
    </w:p>
    <w:p>
      <w:pPr>
        <w:ind w:left="1440" w:right="300" w:hanging="291"/>
        <w:spacing w:after="0" w:line="246"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Campaign management platform to link personalization algorithms with customer-facing touch-points, such as website placements, emails, and push notifications, among others.</w:t>
      </w:r>
    </w:p>
    <w:p>
      <w:pPr>
        <w:spacing w:after="0" w:line="89" w:lineRule="exact"/>
        <w:rPr>
          <w:sz w:val="20"/>
          <w:szCs w:val="20"/>
          <w:color w:val="auto"/>
        </w:rPr>
      </w:pPr>
    </w:p>
    <w:p>
      <w:pPr>
        <w:ind w:left="940" w:right="620"/>
        <w:spacing w:after="0" w:line="246" w:lineRule="auto"/>
        <w:rPr>
          <w:sz w:val="20"/>
          <w:szCs w:val="20"/>
          <w:color w:val="auto"/>
        </w:rPr>
      </w:pPr>
      <w:r>
        <w:rPr>
          <w:rFonts w:ascii="Arial" w:cs="Arial" w:eastAsia="Arial" w:hAnsi="Arial"/>
          <w:sz w:val="18"/>
          <w:szCs w:val="18"/>
          <w:color w:val="auto"/>
        </w:rPr>
        <w:t>Our personalization efforts are only beginning. We believe that these investments will yield high returns around customer engagement, retention, and lifetime value in the quarters and years to come.</w:t>
      </w:r>
    </w:p>
    <w:p>
      <w:pPr>
        <w:spacing w:after="0" w:line="84" w:lineRule="exact"/>
        <w:rPr>
          <w:sz w:val="20"/>
          <w:szCs w:val="20"/>
          <w:color w:val="auto"/>
        </w:rPr>
      </w:pPr>
    </w:p>
    <w:p>
      <w:pPr>
        <w:ind w:left="900" w:right="340" w:hanging="291"/>
        <w:spacing w:after="0" w:line="241"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Expanding our subscription offering</w:t>
      </w:r>
      <w:r>
        <w:rPr>
          <w:rFonts w:ascii="Arial" w:cs="Arial" w:eastAsia="Arial" w:hAnsi="Arial"/>
          <w:sz w:val="18"/>
          <w:szCs w:val="18"/>
          <w:color w:val="auto"/>
        </w:rPr>
        <w:t>: In early 2021, we launched a direct-to-consumer subscription, currently in beta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there is broad demand for learning subscriptions, and we are uniquely positioned to provide a compelling and highly competitive product. We believe that consumer subscriptions, in the absence of employer-sponsored access, will increase the retention of individual learners who seek to continuously acquire new skills and value greater ongoing access to content. Offering different subscription packages based on area of expertise or added features, for example, will allow us to capture different types of individual learners at different price points, all while increasing their engagement with Udemy.</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geographic footprint through</w:t>
      </w:r>
      <w:r>
        <w:rPr>
          <w:rFonts w:ascii="Arial" w:cs="Arial" w:eastAsia="Arial" w:hAnsi="Arial"/>
          <w:sz w:val="18"/>
          <w:szCs w:val="18"/>
          <w:b w:val="1"/>
          <w:bCs w:val="1"/>
          <w:color w:val="auto"/>
        </w:rPr>
        <w:t>:</w:t>
      </w:r>
    </w:p>
    <w:p>
      <w:pPr>
        <w:spacing w:after="0" w:line="121" w:lineRule="exact"/>
        <w:rPr>
          <w:sz w:val="20"/>
          <w:szCs w:val="20"/>
          <w:color w:val="auto"/>
        </w:rPr>
      </w:pPr>
    </w:p>
    <w:p>
      <w:pPr>
        <w:ind w:left="900" w:right="240" w:hanging="291"/>
        <w:spacing w:after="0" w:line="24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Organic expansion</w:t>
      </w:r>
      <w:r>
        <w:rPr>
          <w:rFonts w:ascii="Arial" w:cs="Arial" w:eastAsia="Arial" w:hAnsi="Arial"/>
          <w:sz w:val="18"/>
          <w:szCs w:val="18"/>
          <w:color w:val="auto"/>
        </w:rPr>
        <w:t>: All of our courses are discoverable everywhere in the world. We enter new countries via courses taught in</w:t>
      </w:r>
      <w:r>
        <w:rPr>
          <w:rFonts w:ascii="Arial" w:cs="Arial" w:eastAsia="Arial" w:hAnsi="Arial"/>
          <w:sz w:val="18"/>
          <w:szCs w:val="18"/>
          <w:i w:val="1"/>
          <w:iCs w:val="1"/>
          <w:color w:val="auto"/>
        </w:rPr>
        <w:t xml:space="preserve"> </w:t>
      </w:r>
      <w:r>
        <w:rPr>
          <w:rFonts w:ascii="Arial" w:cs="Arial" w:eastAsia="Arial" w:hAnsi="Arial"/>
          <w:sz w:val="18"/>
          <w:szCs w:val="18"/>
          <w:color w:val="auto"/>
        </w:rPr>
        <w:t>English. As the platform grows in popularity, local instructors create courses in their native languages. As of June 30, 2021, we offered over 70,000 courses in languages other than English. We will continue to invest in our technology and our brand to drive search engine optimization and word of mouth in order to continue organic growth.</w:t>
      </w:r>
    </w:p>
    <w:p>
      <w:pPr>
        <w:spacing w:after="0" w:line="86" w:lineRule="exact"/>
        <w:rPr>
          <w:rFonts w:ascii="Arial" w:cs="Arial" w:eastAsia="Arial" w:hAnsi="Arial"/>
          <w:sz w:val="18"/>
          <w:szCs w:val="18"/>
          <w:color w:val="auto"/>
        </w:rPr>
      </w:pPr>
    </w:p>
    <w:p>
      <w:pPr>
        <w:ind w:left="900" w:right="240" w:hanging="291"/>
        <w:spacing w:after="0" w:line="24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Executing our international playbook</w:t>
      </w:r>
      <w:r>
        <w:rPr>
          <w:rFonts w:ascii="Arial" w:cs="Arial" w:eastAsia="Arial" w:hAnsi="Arial"/>
          <w:sz w:val="18"/>
          <w:szCs w:val="18"/>
          <w:color w:val="auto"/>
        </w:rPr>
        <w:t>: As the content catalog expands in each country, we start investing in additional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levers such as local payment methods, local currency pricing, and local marketing. These investments drive higher traffic, enrollments, and revenue for our direct-to-consumer business, as well as leads for UB. Once we reach a steady volume of leads to UB, we build in-country go-to-market sales teams to grow and expand our customer base. We also may partner with local companies. This international playbook will continue to allow us to build a targeted list of countries in which we anticipate we will expand with a high likelihood of success.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Recent operating results (preliminary and unaudited)</w:t>
      </w:r>
    </w:p>
    <w:p>
      <w:pPr>
        <w:spacing w:after="0" w:line="130" w:lineRule="exact"/>
        <w:rPr>
          <w:sz w:val="20"/>
          <w:szCs w:val="20"/>
          <w:color w:val="auto"/>
        </w:rPr>
      </w:pPr>
    </w:p>
    <w:p>
      <w:pPr>
        <w:ind w:left="300" w:right="420"/>
        <w:spacing w:after="0" w:line="236" w:lineRule="auto"/>
        <w:rPr>
          <w:sz w:val="20"/>
          <w:szCs w:val="20"/>
          <w:color w:val="auto"/>
        </w:rPr>
      </w:pPr>
      <w:r>
        <w:rPr>
          <w:rFonts w:ascii="Arial" w:cs="Arial" w:eastAsia="Arial" w:hAnsi="Arial"/>
          <w:sz w:val="18"/>
          <w:szCs w:val="18"/>
          <w:color w:val="auto"/>
        </w:rPr>
        <w:t>Set forth below are preliminary estimates of unaudited selected financial and other data for the nine months ended September 30, 2021 and unaudited financial and other data for the nine months ended September 30, 2020. Our unaudited interim consolidated financial statements for the nine months ended September 30, 2021 are not yet available. The following information reflects our preliminary estimates based on currently available information and actual results may differ. We have provided ranges, rather than specific amounts, for the preliminary estimates of the unaudited financial and other data described below primarily because our financial closing procedures for the nine months ended September 30, 2021 are not yet complete and, as a result, our final results upon completion of our closing procedures may vary from the preliminary estimates. See “Risk factors,” “Special note regarding forward-looking statements,” and “Management’s discussion and analysis of financial condition and results of operations” for additional information regarding factors that could result in differences between the preliminary estimated ranges of certain of our unaudited financial and other data presented below and the actual financial and other data we will report for the nine months ended September 30, 2021.</w:t>
      </w:r>
    </w:p>
    <w:p>
      <w:pPr>
        <w:spacing w:after="0" w:line="205" w:lineRule="exact"/>
        <w:rPr>
          <w:sz w:val="20"/>
          <w:szCs w:val="20"/>
          <w:color w:val="auto"/>
        </w:rPr>
      </w:pPr>
    </w:p>
    <w:p>
      <w:pPr>
        <w:ind w:left="300" w:right="360"/>
        <w:spacing w:after="0" w:line="238" w:lineRule="auto"/>
        <w:rPr>
          <w:sz w:val="20"/>
          <w:szCs w:val="20"/>
          <w:color w:val="auto"/>
        </w:rPr>
      </w:pPr>
      <w:r>
        <w:rPr>
          <w:rFonts w:ascii="Arial" w:cs="Arial" w:eastAsia="Arial" w:hAnsi="Arial"/>
          <w:sz w:val="18"/>
          <w:szCs w:val="18"/>
          <w:color w:val="auto"/>
        </w:rPr>
        <w:t>The preliminary estimates for the nine months ended September 30, 2021 presented below have been prepared by, and are the responsibility of, management. Deloitte &amp; Touche LLP, our independent registered public accounting firm, has not audited, reviewed, compiled, or performed any procedures with respect to such preliminary data and the corresponding period of the prior fiscal period. Accordingly, Deloitte &amp; Touche LLP does not express an opinion or any other form of assurance with respect thereto.</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20"/>
              <w:spacing w:after="0" w:line="14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Estimated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340" w:type="dxa"/>
            <w:vAlign w:val="bottom"/>
            <w:tcBorders>
              <w:bottom w:val="single" w:sz="8" w:color="DDDDDD"/>
            </w:tcBorders>
          </w:tcPr>
          <w:p>
            <w:pPr>
              <w:spacing w:after="0"/>
              <w:rPr>
                <w:sz w:val="13"/>
                <w:szCs w:val="13"/>
                <w:color w:val="auto"/>
              </w:rPr>
            </w:pPr>
          </w:p>
        </w:tc>
        <w:tc>
          <w:tcPr>
            <w:tcW w:w="200" w:type="dxa"/>
            <w:vAlign w:val="bottom"/>
            <w:tcBorders>
              <w:bottom w:val="single" w:sz="8" w:color="DDDDDD"/>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Actual</w:t>
            </w:r>
          </w:p>
        </w:tc>
        <w:tc>
          <w:tcPr>
            <w:tcW w:w="200" w:type="dxa"/>
            <w:vAlign w:val="bottom"/>
            <w:tcBorders>
              <w:bottom w:val="single" w:sz="8" w:color="DDDDDD"/>
            </w:tcBorders>
          </w:tcPr>
          <w:p>
            <w:pPr>
              <w:spacing w:after="0"/>
              <w:rPr>
                <w:sz w:val="13"/>
                <w:szCs w:val="13"/>
                <w:color w:val="auto"/>
              </w:rPr>
            </w:pPr>
          </w:p>
        </w:tc>
        <w:tc>
          <w:tcPr>
            <w:tcW w:w="140" w:type="dxa"/>
            <w:vAlign w:val="bottom"/>
            <w:tcBorders>
              <w:bottom w:val="single" w:sz="8" w:color="DDDDDD"/>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Low</w:t>
            </w:r>
          </w:p>
        </w:tc>
        <w:tc>
          <w:tcPr>
            <w:tcW w:w="180" w:type="dxa"/>
            <w:vAlign w:val="bottom"/>
            <w:tcBorders>
              <w:bottom w:val="single" w:sz="8" w:color="DDDDDD"/>
            </w:tcBorders>
          </w:tcPr>
          <w:p>
            <w:pPr>
              <w:spacing w:after="0"/>
              <w:rPr>
                <w:sz w:val="13"/>
                <w:szCs w:val="13"/>
                <w:color w:val="auto"/>
              </w:rPr>
            </w:pPr>
          </w:p>
        </w:tc>
        <w:tc>
          <w:tcPr>
            <w:tcW w:w="140" w:type="dxa"/>
            <w:vAlign w:val="bottom"/>
            <w:tcBorders>
              <w:bottom w:val="single" w:sz="8" w:color="DDDDDD"/>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DDDDDD"/>
            </w:tcBorders>
          </w:tcPr>
          <w:p>
            <w:pPr>
              <w:spacing w:after="0"/>
              <w:rPr>
                <w:sz w:val="13"/>
                <w:szCs w:val="13"/>
                <w:color w:val="auto"/>
              </w:rPr>
            </w:pPr>
          </w:p>
        </w:tc>
      </w:tr>
      <w:tr>
        <w:trPr>
          <w:trHeight w:val="196"/>
        </w:trPr>
        <w:tc>
          <w:tcPr>
            <w:tcW w:w="7340" w:type="dxa"/>
            <w:vAlign w:val="bottom"/>
            <w:shd w:val="clear" w:color="auto" w:fill="DDDDDD"/>
          </w:tcPr>
          <w:p>
            <w:pPr>
              <w:spacing w:after="0"/>
              <w:rPr>
                <w:sz w:val="20"/>
                <w:szCs w:val="20"/>
                <w:color w:val="auto"/>
              </w:rPr>
            </w:pPr>
            <w:r>
              <w:rPr>
                <w:rFonts w:ascii="Arial" w:cs="Arial" w:eastAsia="Arial" w:hAnsi="Arial"/>
                <w:sz w:val="14"/>
                <w:szCs w:val="14"/>
                <w:color w:val="auto"/>
              </w:rPr>
              <w:t>Consumer revenue</w:t>
            </w:r>
          </w:p>
        </w:tc>
        <w:tc>
          <w:tcPr>
            <w:tcW w:w="3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248,335</w:t>
            </w:r>
          </w:p>
        </w:tc>
        <w:tc>
          <w:tcPr>
            <w:tcW w:w="200" w:type="dxa"/>
            <w:vAlign w:val="bottom"/>
            <w:shd w:val="clear" w:color="auto" w:fill="DDDDDD"/>
          </w:tcPr>
          <w:p>
            <w:pPr>
              <w:spacing w:after="0"/>
              <w:rPr>
                <w:sz w:val="17"/>
                <w:szCs w:val="17"/>
                <w:color w:val="auto"/>
              </w:rPr>
            </w:pP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248,637</w:t>
            </w:r>
          </w:p>
        </w:tc>
        <w:tc>
          <w:tcPr>
            <w:tcW w:w="180" w:type="dxa"/>
            <w:vAlign w:val="bottom"/>
            <w:shd w:val="clear" w:color="auto" w:fill="DDDDDD"/>
          </w:tcPr>
          <w:p>
            <w:pPr>
              <w:spacing w:after="0"/>
              <w:rPr>
                <w:sz w:val="17"/>
                <w:szCs w:val="17"/>
                <w:color w:val="auto"/>
              </w:rPr>
            </w:pP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251,837</w:t>
            </w:r>
          </w:p>
        </w:tc>
        <w:tc>
          <w:tcPr>
            <w:tcW w:w="100" w:type="dxa"/>
            <w:vAlign w:val="bottom"/>
            <w:shd w:val="clear" w:color="auto" w:fill="DDDDDD"/>
          </w:tcPr>
          <w:p>
            <w:pPr>
              <w:spacing w:after="0"/>
              <w:rPr>
                <w:sz w:val="17"/>
                <w:szCs w:val="17"/>
                <w:color w:val="auto"/>
              </w:rPr>
            </w:pP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rPr>
              <w:t>Enterprise revenue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129,706</w:t>
            </w:r>
          </w:p>
        </w:tc>
        <w:tc>
          <w:tcPr>
            <w:tcW w:w="10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4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319,805</w:t>
            </w:r>
          </w:p>
        </w:tc>
        <w:tc>
          <w:tcPr>
            <w:tcW w:w="2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376,343</w:t>
            </w:r>
          </w:p>
        </w:tc>
        <w:tc>
          <w:tcPr>
            <w:tcW w:w="18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381,543</w:t>
            </w:r>
          </w:p>
        </w:tc>
        <w:tc>
          <w:tcPr>
            <w:tcW w:w="100" w:type="dxa"/>
            <w:vAlign w:val="bottom"/>
            <w:shd w:val="clear" w:color="auto" w:fill="DDDDDD"/>
          </w:tcPr>
          <w:p>
            <w:pPr>
              <w:spacing w:after="0"/>
              <w:rPr>
                <w:sz w:val="17"/>
                <w:szCs w:val="17"/>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4"/>
                <w:szCs w:val="14"/>
                <w:color w:val="auto"/>
              </w:rPr>
              <w:t>Cost of revenues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153,597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169,916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172,116</w:t>
            </w:r>
          </w:p>
        </w:tc>
        <w:tc>
          <w:tcPr>
            <w:tcW w:w="100" w:type="dxa"/>
            <w:vAlign w:val="bottom"/>
          </w:tcPr>
          <w:p>
            <w:pPr>
              <w:spacing w:after="0"/>
              <w:rPr>
                <w:sz w:val="15"/>
                <w:szCs w:val="15"/>
                <w:color w:val="auto"/>
              </w:rPr>
            </w:pPr>
          </w:p>
        </w:tc>
      </w:tr>
      <w:tr>
        <w:trPr>
          <w:trHeight w:val="210"/>
        </w:trPr>
        <w:tc>
          <w:tcPr>
            <w:tcW w:w="7340" w:type="dxa"/>
            <w:vAlign w:val="bottom"/>
            <w:shd w:val="clear" w:color="auto" w:fill="DDDDDD"/>
          </w:tcPr>
          <w:p>
            <w:pPr>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213,492</w:t>
            </w:r>
          </w:p>
        </w:tc>
        <w:tc>
          <w:tcPr>
            <w:tcW w:w="2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244,639</w:t>
            </w:r>
          </w:p>
        </w:tc>
        <w:tc>
          <w:tcPr>
            <w:tcW w:w="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246,339</w:t>
            </w:r>
          </w:p>
        </w:tc>
        <w:tc>
          <w:tcPr>
            <w:tcW w:w="100" w:type="dxa"/>
            <w:vAlign w:val="bottom"/>
            <w:shd w:val="clear" w:color="auto" w:fill="DDDDDD"/>
          </w:tcPr>
          <w:p>
            <w:pPr>
              <w:spacing w:after="0"/>
              <w:rPr>
                <w:sz w:val="18"/>
                <w:szCs w:val="18"/>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4"/>
                <w:szCs w:val="14"/>
                <w:color w:val="auto"/>
              </w:rPr>
              <w:t>Operating loss</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(47,284)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(38,212)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(36,912)</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4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Non-GAAP Financial Measures:</w:t>
            </w:r>
          </w:p>
        </w:tc>
        <w:tc>
          <w:tcPr>
            <w:tcW w:w="2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r>
      <w:tr>
        <w:trPr>
          <w:trHeight w:val="313"/>
        </w:trPr>
        <w:tc>
          <w:tcPr>
            <w:tcW w:w="734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24"/>
                <w:szCs w:val="24"/>
                <w:color w:val="auto"/>
                <w:vertAlign w:val="superscript"/>
              </w:rPr>
              <w:t>(1)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(16,020)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(4,108)</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(2,808)</w:t>
            </w:r>
          </w:p>
        </w:tc>
      </w:tr>
    </w:tbl>
    <w:p>
      <w:pPr>
        <w:spacing w:after="0" w:line="43" w:lineRule="exact"/>
        <w:rPr>
          <w:sz w:val="20"/>
          <w:szCs w:val="20"/>
          <w:color w:val="auto"/>
        </w:rPr>
      </w:pPr>
    </w:p>
    <w:p>
      <w:pPr>
        <w:ind w:left="1140" w:hanging="423"/>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operations–Non-GAAP financial metrics” for additional information.</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81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00" w:right="320" w:hanging="291"/>
        <w:spacing w:after="0" w:line="23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2021, we expect consumer revenue to be between $248.6 million and $251.8 million, compared to $248.3 million for the nine months ended September 30, 2020. The expected increase in consumer revenue is primarily due to an increase in revenue recognized in the period deferred from course purchases in the prior fiscal year and an increase in the average purchase price of courses when compared to the same period in the prior year, partially offset by a 9% decrease in monthly average buyers.</w:t>
      </w:r>
    </w:p>
    <w:p>
      <w:pPr>
        <w:spacing w:after="0" w:line="107" w:lineRule="exact"/>
        <w:rPr>
          <w:rFonts w:ascii="Arial" w:cs="Arial" w:eastAsia="Arial" w:hAnsi="Arial"/>
          <w:sz w:val="18"/>
          <w:szCs w:val="18"/>
          <w:color w:val="auto"/>
        </w:rPr>
      </w:pPr>
    </w:p>
    <w:p>
      <w:pPr>
        <w:ind w:left="900" w:right="540" w:hanging="291"/>
        <w:spacing w:after="0" w:line="23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2021, we expect enterprise revenue to be between $127.7 million and $129.7 million, compared to $71.5 million for the nine months ended September 30, 2020. The expected increase in enterprise revenue is primarily due to an increase in the number of UB customers as well as an increase in the average deal size per new customer and net expansions in our existing UB customer base. Pricing was not a significant driver of the increase in enterprise revenue.</w:t>
      </w:r>
    </w:p>
    <w:p>
      <w:pPr>
        <w:spacing w:after="0" w:line="107" w:lineRule="exact"/>
        <w:rPr>
          <w:rFonts w:ascii="Arial" w:cs="Arial" w:eastAsia="Arial" w:hAnsi="Arial"/>
          <w:sz w:val="18"/>
          <w:szCs w:val="18"/>
          <w:color w:val="auto"/>
        </w:rPr>
      </w:pPr>
    </w:p>
    <w:p>
      <w:pPr>
        <w:ind w:left="900" w:right="220" w:hanging="291"/>
        <w:spacing w:after="0" w:line="23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2021, we expect cost of revenues to be between $169.9 million and $172.1 million, compared to cost of revenues of $153.6 million for the nine months ended September 30, 2020. The expected increase in cost of revenues is primarily due to an increase in content costs and customer support costs driven by the expansion of our UB customer base. We expect content costs as a percentage of revenue to decrease due to a shift in the mix of revenue toward our enterprise segment, which has comparatively lower content costs as a percentage of revenue relative to the consumer segment.</w:t>
      </w:r>
    </w:p>
    <w:p>
      <w:pPr>
        <w:spacing w:after="0" w:line="105" w:lineRule="exact"/>
        <w:rPr>
          <w:rFonts w:ascii="Arial" w:cs="Arial" w:eastAsia="Arial" w:hAnsi="Arial"/>
          <w:sz w:val="18"/>
          <w:szCs w:val="18"/>
          <w:color w:val="auto"/>
        </w:rPr>
      </w:pPr>
    </w:p>
    <w:p>
      <w:pPr>
        <w:ind w:left="900" w:hanging="291"/>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2021, we expect operating expenses to be between $244.6 million and</w:t>
      </w:r>
    </w:p>
    <w:p>
      <w:pPr>
        <w:ind w:left="900" w:right="220"/>
        <w:spacing w:after="0" w:line="236" w:lineRule="auto"/>
        <w:rPr>
          <w:rFonts w:ascii="Arial" w:cs="Arial" w:eastAsia="Arial" w:hAnsi="Arial"/>
          <w:sz w:val="18"/>
          <w:szCs w:val="18"/>
          <w:color w:val="auto"/>
        </w:rPr>
      </w:pPr>
      <w:r>
        <w:rPr>
          <w:rFonts w:ascii="Arial" w:cs="Arial" w:eastAsia="Arial" w:hAnsi="Arial"/>
          <w:sz w:val="18"/>
          <w:szCs w:val="18"/>
          <w:color w:val="auto"/>
        </w:rPr>
        <w:t>$246.3 million, compared to operating expenses of $213.5 million for the nine months ended September 30, 2020. We expect operating expenses to increase primarily due to higher personnel-related expenses, mainly driven by additional headcount to support our operations. We also expect an increase in the amortization of deferred contract acquisition costs, driven by an expansion of our UB customer base over time, and an increase in professional services to support the growth of our business, partially offset by a reduction in our instructor withholding tax reserve estimate and marketing-related expenses. The expected change in our instructor withholding tax reserve is based on a revision of certain key assumptions, including the expected relief on certain instructor payments we will be entitled to. The benefit related to this change in accounting estimate is not expected to be indicative of future operating results.</w:t>
      </w:r>
    </w:p>
    <w:p>
      <w:pPr>
        <w:spacing w:after="0" w:line="113" w:lineRule="exact"/>
        <w:rPr>
          <w:rFonts w:ascii="Arial" w:cs="Arial" w:eastAsia="Arial" w:hAnsi="Arial"/>
          <w:sz w:val="18"/>
          <w:szCs w:val="18"/>
          <w:color w:val="auto"/>
        </w:rPr>
      </w:pPr>
    </w:p>
    <w:p>
      <w:pPr>
        <w:ind w:left="900" w:right="320" w:hanging="291"/>
        <w:spacing w:after="0" w:line="23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2021, we expect operating loss to be between $38.2 million and $36.9 million, compared to operating loss of $47.3 million for the nine months ended September 30, 2020. The expected decrease in operating loss is primarily due to the expected increase in enterprise revenue, partially offset by an expected increase in cost of revenues and operating expenses due to the factors described in the bullets above.</w:t>
      </w:r>
    </w:p>
    <w:p>
      <w:pPr>
        <w:spacing w:after="0" w:line="205" w:lineRule="exact"/>
        <w:rPr>
          <w:sz w:val="20"/>
          <w:szCs w:val="20"/>
          <w:color w:val="auto"/>
        </w:rPr>
      </w:pPr>
    </w:p>
    <w:p>
      <w:pPr>
        <w:ind w:left="300" w:right="340"/>
        <w:spacing w:after="0" w:line="237" w:lineRule="auto"/>
        <w:rPr>
          <w:sz w:val="20"/>
          <w:szCs w:val="20"/>
          <w:color w:val="auto"/>
        </w:rPr>
      </w:pPr>
      <w:r>
        <w:rPr>
          <w:rFonts w:ascii="Arial" w:cs="Arial" w:eastAsia="Arial" w:hAnsi="Arial"/>
          <w:sz w:val="18"/>
          <w:szCs w:val="18"/>
          <w:color w:val="auto"/>
        </w:rPr>
        <w:t>We are not able to reconcile Adjusted EBITDA to net loss, the most directly comparable financial measure calculated and presented in accordance with GAAP, because we have not yet been able to calculate our provision for income taxes for the nine months ended September 30, 2021. We will provide such reconciliation in our quarterly report on Form 10-Q for the quarterly period ended September 30, 2021 when filed. Therefore, the following table sets forth a reconciliation of operating loss, the most directly comparable financial measure calculated and presented in accordance with GAAP that is currently available to us, to Adjusted EBITDA.</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9"/>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00"/>
              <w:spacing w:after="0" w:line="143"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Estimated</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7360" w:type="dxa"/>
            <w:vAlign w:val="bottom"/>
            <w:tcBorders>
              <w:bottom w:val="single" w:sz="8" w:color="DDDDDD"/>
            </w:tcBorders>
          </w:tcPr>
          <w:p>
            <w:pPr>
              <w:spacing w:after="0"/>
              <w:rPr>
                <w:sz w:val="13"/>
                <w:szCs w:val="13"/>
                <w:color w:val="auto"/>
              </w:rPr>
            </w:pPr>
          </w:p>
        </w:tc>
        <w:tc>
          <w:tcPr>
            <w:tcW w:w="200" w:type="dxa"/>
            <w:vAlign w:val="bottom"/>
            <w:tcBorders>
              <w:bottom w:val="single" w:sz="8" w:color="DDDDDD"/>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bottom w:val="single" w:sz="8" w:color="DDDDDD"/>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Low</w:t>
            </w:r>
          </w:p>
        </w:tc>
        <w:tc>
          <w:tcPr>
            <w:tcW w:w="140" w:type="dxa"/>
            <w:vAlign w:val="bottom"/>
            <w:tcBorders>
              <w:bottom w:val="single" w:sz="8" w:color="DDDDDD"/>
            </w:tcBorders>
          </w:tcPr>
          <w:p>
            <w:pPr>
              <w:spacing w:after="0"/>
              <w:rPr>
                <w:sz w:val="13"/>
                <w:szCs w:val="13"/>
                <w:color w:val="auto"/>
              </w:rPr>
            </w:pPr>
          </w:p>
        </w:tc>
        <w:tc>
          <w:tcPr>
            <w:tcW w:w="120" w:type="dxa"/>
            <w:vAlign w:val="bottom"/>
            <w:tcBorders>
              <w:bottom w:val="single" w:sz="8" w:color="DDDDD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High</w:t>
            </w:r>
          </w:p>
        </w:tc>
        <w:tc>
          <w:tcPr>
            <w:tcW w:w="40" w:type="dxa"/>
            <w:vAlign w:val="bottom"/>
            <w:tcBorders>
              <w:bottom w:val="single" w:sz="8" w:color="DDDDDD"/>
            </w:tcBorders>
          </w:tcPr>
          <w:p>
            <w:pPr>
              <w:spacing w:after="0"/>
              <w:rPr>
                <w:sz w:val="13"/>
                <w:szCs w:val="13"/>
                <w:color w:val="auto"/>
              </w:rPr>
            </w:pPr>
          </w:p>
        </w:tc>
      </w:tr>
      <w:tr>
        <w:trPr>
          <w:trHeight w:val="196"/>
        </w:trPr>
        <w:tc>
          <w:tcPr>
            <w:tcW w:w="7360" w:type="dxa"/>
            <w:vAlign w:val="bottom"/>
            <w:shd w:val="clear" w:color="auto" w:fill="DDDDDD"/>
          </w:tcPr>
          <w:p>
            <w:pPr>
              <w:spacing w:after="0"/>
              <w:rPr>
                <w:sz w:val="20"/>
                <w:szCs w:val="20"/>
                <w:color w:val="auto"/>
              </w:rPr>
            </w:pPr>
            <w:r>
              <w:rPr>
                <w:rFonts w:ascii="Arial" w:cs="Arial" w:eastAsia="Arial" w:hAnsi="Arial"/>
                <w:sz w:val="14"/>
                <w:szCs w:val="14"/>
                <w:color w:val="auto"/>
              </w:rPr>
              <w:t>Operating loss</w:t>
            </w:r>
          </w:p>
        </w:tc>
        <w:tc>
          <w:tcPr>
            <w:tcW w:w="3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highlight w:val="lightGray"/>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highlight w:val="lightGray"/>
              </w:rPr>
              <w:t>(47,284)</w:t>
            </w:r>
          </w:p>
        </w:tc>
        <w:tc>
          <w:tcPr>
            <w:tcW w:w="4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highlight w:val="lightGray"/>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highlight w:val="lightGray"/>
              </w:rPr>
              <w:t>(38,212)</w:t>
            </w:r>
          </w:p>
        </w:tc>
        <w:tc>
          <w:tcPr>
            <w:tcW w:w="140" w:type="dxa"/>
            <w:vAlign w:val="bottom"/>
            <w:shd w:val="clear" w:color="auto" w:fill="DDDDDD"/>
          </w:tcPr>
          <w:p>
            <w:pPr>
              <w:spacing w:after="0"/>
              <w:rPr>
                <w:sz w:val="17"/>
                <w:szCs w:val="17"/>
                <w:color w:val="auto"/>
              </w:rPr>
            </w:pPr>
          </w:p>
        </w:tc>
        <w:tc>
          <w:tcPr>
            <w:tcW w:w="3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highlight w:val="lightGray"/>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highlight w:val="lightGray"/>
              </w:rPr>
              <w:t>(36,912)</w:t>
            </w:r>
          </w:p>
        </w:tc>
        <w:tc>
          <w:tcPr>
            <w:tcW w:w="40" w:type="dxa"/>
            <w:vAlign w:val="bottom"/>
            <w:shd w:val="clear" w:color="auto" w:fill="DDDDDD"/>
          </w:tcPr>
          <w:p>
            <w:pPr>
              <w:spacing w:after="0"/>
              <w:rPr>
                <w:sz w:val="17"/>
                <w:szCs w:val="17"/>
                <w:color w:val="auto"/>
              </w:rPr>
            </w:pPr>
          </w:p>
        </w:tc>
      </w:tr>
      <w:tr>
        <w:trPr>
          <w:trHeight w:val="162"/>
        </w:trPr>
        <w:tc>
          <w:tcPr>
            <w:tcW w:w="736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7360" w:type="dxa"/>
            <w:vAlign w:val="bottom"/>
            <w:shd w:val="clear" w:color="auto" w:fill="DDDDDD"/>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7,812</w:t>
            </w:r>
          </w:p>
        </w:tc>
        <w:tc>
          <w:tcPr>
            <w:tcW w:w="4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10,400</w:t>
            </w:r>
          </w:p>
        </w:tc>
        <w:tc>
          <w:tcPr>
            <w:tcW w:w="3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10,400</w:t>
            </w:r>
          </w:p>
        </w:tc>
        <w:tc>
          <w:tcPr>
            <w:tcW w:w="40" w:type="dxa"/>
            <w:vAlign w:val="bottom"/>
            <w:shd w:val="clear" w:color="auto" w:fill="DDDDDD"/>
          </w:tcPr>
          <w:p>
            <w:pPr>
              <w:spacing w:after="0"/>
              <w:rPr>
                <w:sz w:val="18"/>
                <w:szCs w:val="18"/>
                <w:color w:val="auto"/>
              </w:rPr>
            </w:pPr>
          </w:p>
        </w:tc>
      </w:tr>
      <w:tr>
        <w:trPr>
          <w:trHeight w:val="162"/>
        </w:trPr>
        <w:tc>
          <w:tcPr>
            <w:tcW w:w="7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23,452</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23,704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23,704</w:t>
            </w:r>
          </w:p>
        </w:tc>
        <w:tc>
          <w:tcPr>
            <w:tcW w:w="40" w:type="dxa"/>
            <w:vAlign w:val="bottom"/>
          </w:tcPr>
          <w:p>
            <w:pPr>
              <w:spacing w:after="0"/>
              <w:rPr>
                <w:sz w:val="14"/>
                <w:szCs w:val="14"/>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7360" w:type="dxa"/>
            <w:vAlign w:val="bottom"/>
            <w:shd w:val="clear" w:color="auto" w:fill="DDDDDD"/>
          </w:tcPr>
          <w:p>
            <w:pPr>
              <w:spacing w:after="0"/>
              <w:rPr>
                <w:sz w:val="20"/>
                <w:szCs w:val="20"/>
                <w:color w:val="auto"/>
              </w:rPr>
            </w:pPr>
            <w:r>
              <w:rPr>
                <w:rFonts w:ascii="Arial" w:cs="Arial" w:eastAsia="Arial" w:hAnsi="Arial"/>
                <w:sz w:val="14"/>
                <w:szCs w:val="14"/>
                <w:color w:val="auto"/>
              </w:rPr>
              <w:t>Adjusted EBITDA</w:t>
            </w:r>
          </w:p>
        </w:tc>
        <w:tc>
          <w:tcPr>
            <w:tcW w:w="200" w:type="dxa"/>
            <w:vAlign w:val="bottom"/>
            <w:shd w:val="clear" w:color="auto" w:fill="DDDDDD"/>
          </w:tcPr>
          <w:p>
            <w:pPr>
              <w:spacing w:after="0"/>
              <w:rPr>
                <w:sz w:val="15"/>
                <w:szCs w:val="15"/>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(16,020)</w:t>
            </w:r>
          </w:p>
        </w:tc>
        <w:tc>
          <w:tcPr>
            <w:tcW w:w="4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(4,108)</w:t>
            </w:r>
          </w:p>
        </w:tc>
        <w:tc>
          <w:tcPr>
            <w:tcW w:w="3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(2,808)</w:t>
            </w:r>
          </w:p>
        </w:tc>
        <w:tc>
          <w:tcPr>
            <w:tcW w:w="40" w:type="dxa"/>
            <w:vAlign w:val="bottom"/>
            <w:shd w:val="clear" w:color="auto" w:fill="DDDDDD"/>
          </w:tcPr>
          <w:p>
            <w:pPr>
              <w:spacing w:after="0"/>
              <w:rPr>
                <w:sz w:val="15"/>
                <w:szCs w:val="15"/>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 factors summary</w:t>
      </w:r>
    </w:p>
    <w:p>
      <w:pPr>
        <w:spacing w:after="0" w:line="130" w:lineRule="exact"/>
        <w:rPr>
          <w:sz w:val="20"/>
          <w:szCs w:val="20"/>
          <w:color w:val="auto"/>
        </w:rPr>
      </w:pPr>
    </w:p>
    <w:p>
      <w:pPr>
        <w:ind w:left="300" w:right="260"/>
        <w:spacing w:after="0"/>
        <w:rPr>
          <w:sz w:val="20"/>
          <w:szCs w:val="20"/>
          <w:color w:val="auto"/>
        </w:rPr>
      </w:pPr>
      <w:r>
        <w:rPr>
          <w:rFonts w:ascii="Arial" w:cs="Arial" w:eastAsia="Arial" w:hAnsi="Arial"/>
          <w:sz w:val="18"/>
          <w:szCs w:val="18"/>
          <w:color w:val="auto"/>
        </w:rPr>
        <w:t>Our business is subject to a number of risks and uncertainties of which you should be aware before deciding to invest in our common stock. These risks are more fully described in “Risk factors” immediately following this prospectus summary. These risks include, among others, the following:</w:t>
      </w:r>
    </w:p>
    <w:p>
      <w:pPr>
        <w:spacing w:after="0" w:line="108" w:lineRule="exact"/>
        <w:rPr>
          <w:sz w:val="20"/>
          <w:szCs w:val="20"/>
          <w:color w:val="auto"/>
        </w:rPr>
      </w:pPr>
    </w:p>
    <w:p>
      <w:pPr>
        <w:ind w:left="900" w:right="400" w:hanging="291"/>
        <w:spacing w:after="0" w:line="23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generate sufficient revenue to achieve or maintain profitability in the future. We incurred net losses of $69.7 million and $77.6 million during the years ended December 31, 2019 and 2020, respectively, and net losses of $52.5 million and $29.4 million during the six months ended June 30, 2020 and 2021, respectively, and, as of June 30, 2021, we had an accumulated deficit of $407.9 million.</w:t>
      </w:r>
    </w:p>
    <w:p>
      <w:pPr>
        <w:spacing w:after="0" w:line="110" w:lineRule="exact"/>
        <w:rPr>
          <w:rFonts w:ascii="Arial" w:cs="Arial" w:eastAsia="Arial" w:hAnsi="Arial"/>
          <w:sz w:val="18"/>
          <w:szCs w:val="18"/>
          <w:color w:val="auto"/>
        </w:rPr>
      </w:pPr>
    </w:p>
    <w:p>
      <w:pPr>
        <w:ind w:left="900" w:right="50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limited history in an emerging and dynamic market, which makes it difficult to evaluate our prospects and future results of operations.</w:t>
      </w:r>
    </w:p>
    <w:p>
      <w:pPr>
        <w:spacing w:after="0" w:line="102" w:lineRule="exact"/>
        <w:rPr>
          <w:rFonts w:ascii="Arial" w:cs="Arial" w:eastAsia="Arial" w:hAnsi="Arial"/>
          <w:sz w:val="18"/>
          <w:szCs w:val="18"/>
          <w:color w:val="auto"/>
        </w:rPr>
      </w:pPr>
    </w:p>
    <w:p>
      <w:pPr>
        <w:ind w:left="900" w:right="58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due to a wide range of factors, which makes our future results difficult to predict.</w:t>
      </w:r>
    </w:p>
    <w:p>
      <w:pPr>
        <w:spacing w:after="0" w:line="102" w:lineRule="exact"/>
        <w:rPr>
          <w:rFonts w:ascii="Arial" w:cs="Arial" w:eastAsia="Arial" w:hAnsi="Arial"/>
          <w:sz w:val="18"/>
          <w:szCs w:val="18"/>
          <w:color w:val="auto"/>
        </w:rPr>
      </w:pPr>
    </w:p>
    <w:p>
      <w:pPr>
        <w:ind w:left="900" w:right="56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rapid growth may not be sustainable and depends on our ability to attract new learners, instructors, and organizations and retain existing ones.</w:t>
      </w:r>
    </w:p>
    <w:p>
      <w:pPr>
        <w:spacing w:after="0" w:line="102" w:lineRule="exact"/>
        <w:rPr>
          <w:rFonts w:ascii="Arial" w:cs="Arial" w:eastAsia="Arial" w:hAnsi="Arial"/>
          <w:sz w:val="18"/>
          <w:szCs w:val="18"/>
          <w:color w:val="auto"/>
        </w:rPr>
      </w:pPr>
    </w:p>
    <w:p>
      <w:pPr>
        <w:ind w:left="900" w:right="400" w:hanging="29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108" w:lineRule="exact"/>
        <w:rPr>
          <w:rFonts w:ascii="Arial" w:cs="Arial" w:eastAsia="Arial" w:hAnsi="Arial"/>
          <w:sz w:val="18"/>
          <w:szCs w:val="18"/>
          <w:color w:val="auto"/>
        </w:rPr>
      </w:pPr>
    </w:p>
    <w:p>
      <w:pPr>
        <w:ind w:left="900" w:hanging="29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maintain and expand our relationships with UB customers, our ability to grow our business and revenue will suffer.</w:t>
      </w:r>
    </w:p>
    <w:p>
      <w:pPr>
        <w:spacing w:after="0" w:line="117" w:lineRule="exact"/>
        <w:rPr>
          <w:rFonts w:ascii="Arial" w:cs="Arial" w:eastAsia="Arial" w:hAnsi="Arial"/>
          <w:sz w:val="18"/>
          <w:szCs w:val="18"/>
          <w:color w:val="auto"/>
        </w:rPr>
      </w:pPr>
    </w:p>
    <w:p>
      <w:pPr>
        <w:ind w:left="900" w:right="82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competitive market, and we may not be able to compete successfully against current and future competitors.</w:t>
      </w:r>
    </w:p>
    <w:p>
      <w:pPr>
        <w:spacing w:after="0" w:line="102" w:lineRule="exact"/>
        <w:rPr>
          <w:rFonts w:ascii="Arial" w:cs="Arial" w:eastAsia="Arial" w:hAnsi="Arial"/>
          <w:sz w:val="18"/>
          <w:szCs w:val="18"/>
          <w:color w:val="auto"/>
        </w:rPr>
      </w:pPr>
    </w:p>
    <w:p>
      <w:pPr>
        <w:ind w:left="900" w:right="66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for online learning solutions is relatively new and may not grow as we expect, which may harm our business, financial condition, and results of operations.</w:t>
      </w:r>
    </w:p>
    <w:p>
      <w:pPr>
        <w:spacing w:after="0" w:line="102" w:lineRule="exact"/>
        <w:rPr>
          <w:rFonts w:ascii="Arial" w:cs="Arial" w:eastAsia="Arial" w:hAnsi="Arial"/>
          <w:sz w:val="18"/>
          <w:szCs w:val="18"/>
          <w:color w:val="auto"/>
        </w:rPr>
      </w:pPr>
    </w:p>
    <w:p>
      <w:pPr>
        <w:ind w:left="900" w:right="32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Adherence to our values and our focus on long-term sustainability may negatively impact our short- or medium-term financial performance.</w:t>
      </w:r>
    </w:p>
    <w:p>
      <w:pPr>
        <w:spacing w:after="0" w:line="102" w:lineRule="exact"/>
        <w:rPr>
          <w:rFonts w:ascii="Arial" w:cs="Arial" w:eastAsia="Arial" w:hAnsi="Arial"/>
          <w:sz w:val="18"/>
          <w:szCs w:val="18"/>
          <w:color w:val="auto"/>
        </w:rPr>
      </w:pPr>
    </w:p>
    <w:p>
      <w:pPr>
        <w:ind w:left="900" w:right="30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could affect our business, financial condition, and results of operations in volatile and unpredictable ways.</w:t>
      </w:r>
    </w:p>
    <w:p>
      <w:pPr>
        <w:spacing w:after="0" w:line="102" w:lineRule="exact"/>
        <w:rPr>
          <w:rFonts w:ascii="Arial" w:cs="Arial" w:eastAsia="Arial" w:hAnsi="Arial"/>
          <w:sz w:val="18"/>
          <w:szCs w:val="18"/>
          <w:color w:val="auto"/>
        </w:rPr>
      </w:pPr>
    </w:p>
    <w:p>
      <w:pPr>
        <w:ind w:left="900" w:right="440" w:hanging="291"/>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to successfully execute and integrate future acquisitions could materially adversely affect our business, financial condition, and results of operations.</w:t>
      </w:r>
    </w:p>
    <w:p>
      <w:pPr>
        <w:spacing w:after="0" w:line="102" w:lineRule="exact"/>
        <w:rPr>
          <w:rFonts w:ascii="Arial" w:cs="Arial" w:eastAsia="Arial" w:hAnsi="Arial"/>
          <w:sz w:val="18"/>
          <w:szCs w:val="18"/>
          <w:color w:val="auto"/>
        </w:rPr>
      </w:pPr>
    </w:p>
    <w:p>
      <w:pPr>
        <w:jc w:val="both"/>
        <w:ind w:left="900" w:right="380" w:hanging="29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87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00" w:right="420" w:hanging="291"/>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adequately obtain, maintain, protect, and enforce our intellectual property and proprietary information, which could adversely affect our business, financial condition, and results of operations.</w:t>
      </w:r>
    </w:p>
    <w:p>
      <w:pPr>
        <w:spacing w:after="0" w:line="102" w:lineRule="exact"/>
        <w:rPr>
          <w:rFonts w:ascii="Arial" w:cs="Arial" w:eastAsia="Arial" w:hAnsi="Arial"/>
          <w:sz w:val="18"/>
          <w:szCs w:val="18"/>
          <w:color w:val="auto"/>
        </w:rPr>
      </w:pPr>
    </w:p>
    <w:p>
      <w:pPr>
        <w:ind w:left="900" w:hanging="29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face liability, or our reputation might be harmed, as a result of courses posted to our platform.</w:t>
      </w:r>
    </w:p>
    <w:p>
      <w:pPr>
        <w:spacing w:after="0" w:line="117" w:lineRule="exact"/>
        <w:rPr>
          <w:rFonts w:ascii="Arial" w:cs="Arial" w:eastAsia="Arial" w:hAnsi="Arial"/>
          <w:sz w:val="18"/>
          <w:szCs w:val="18"/>
          <w:color w:val="auto"/>
        </w:rPr>
      </w:pPr>
    </w:p>
    <w:p>
      <w:pPr>
        <w:ind w:left="900" w:right="440" w:hanging="291"/>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102" w:lineRule="exact"/>
        <w:rPr>
          <w:rFonts w:ascii="Arial" w:cs="Arial" w:eastAsia="Arial" w:hAnsi="Arial"/>
          <w:sz w:val="18"/>
          <w:szCs w:val="18"/>
          <w:color w:val="auto"/>
        </w:rPr>
      </w:pPr>
    </w:p>
    <w:p>
      <w:pPr>
        <w:ind w:left="900" w:right="960" w:hanging="291"/>
        <w:spacing w:after="0" w:line="27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80" w:lineRule="exact"/>
        <w:rPr>
          <w:rFonts w:ascii="Arial" w:cs="Arial" w:eastAsia="Arial" w:hAnsi="Arial"/>
          <w:sz w:val="17"/>
          <w:szCs w:val="17"/>
          <w:color w:val="auto"/>
        </w:rPr>
      </w:pPr>
    </w:p>
    <w:p>
      <w:pPr>
        <w:ind w:left="900" w:hanging="29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and you could lose all or part of your investment.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0" w:lineRule="exact"/>
        <w:rPr>
          <w:sz w:val="20"/>
          <w:szCs w:val="20"/>
          <w:color w:val="auto"/>
        </w:rPr>
      </w:pPr>
    </w:p>
    <w:p>
      <w:pPr>
        <w:ind w:left="300" w:right="300"/>
        <w:spacing w:after="0" w:line="238" w:lineRule="auto"/>
        <w:rPr>
          <w:sz w:val="20"/>
          <w:szCs w:val="20"/>
          <w:color w:val="auto"/>
        </w:rPr>
      </w:pPr>
      <w:r>
        <w:rPr>
          <w:rFonts w:ascii="Arial" w:cs="Arial" w:eastAsia="Arial" w:hAnsi="Arial"/>
          <w:sz w:val="18"/>
          <w:szCs w:val="18"/>
          <w:color w:val="auto"/>
        </w:rPr>
        <w:t>We were incorporated in January 2010 as a Delaware corporation. Our principal executive offices are located at 600 Harrison Street, 3rd Floor, San Francisco, California 94107, and our telephone number is (415) 813-1710. Our website address is www.udemy.com.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common stock.</w:t>
      </w:r>
    </w:p>
    <w:p>
      <w:pPr>
        <w:spacing w:after="0" w:line="202" w:lineRule="exact"/>
        <w:rPr>
          <w:sz w:val="20"/>
          <w:szCs w:val="20"/>
          <w:color w:val="auto"/>
        </w:rPr>
      </w:pPr>
    </w:p>
    <w:p>
      <w:pPr>
        <w:jc w:val="both"/>
        <w:ind w:left="300" w:right="360"/>
        <w:spacing w:after="0"/>
        <w:rPr>
          <w:sz w:val="20"/>
          <w:szCs w:val="20"/>
          <w:color w:val="auto"/>
        </w:rPr>
      </w:pPr>
      <w:r>
        <w:rPr>
          <w:rFonts w:ascii="Arial" w:cs="Arial" w:eastAsia="Arial" w:hAnsi="Arial"/>
          <w:sz w:val="18"/>
          <w:szCs w:val="18"/>
          <w:color w:val="auto"/>
        </w:rPr>
        <w:t>“Udemy,” our logo, and our other registered or common law trademarks, service marks, or trade names appearing in this prospectus are the property of Udemy, Inc. Other trademarks and trade names referred to in this prospectus are the property of their respective owners.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0" w:lineRule="exact"/>
        <w:rPr>
          <w:sz w:val="20"/>
          <w:szCs w:val="20"/>
          <w:color w:val="auto"/>
        </w:rPr>
      </w:pPr>
    </w:p>
    <w:p>
      <w:pPr>
        <w:ind w:left="300" w:right="200"/>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927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The offering</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91" w:lineRule="exact"/>
        <w:rPr>
          <w:sz w:val="20"/>
          <w:szCs w:val="20"/>
          <w:color w:val="auto"/>
        </w:rPr>
      </w:pPr>
    </w:p>
    <w:p>
      <w:pPr>
        <w:ind w:left="380" w:right="460" w:hanging="78"/>
        <w:spacing w:after="0" w:line="301"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Indications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14,500,000 shares.</w:t>
      </w:r>
    </w:p>
    <w:p>
      <w:pPr>
        <w:spacing w:after="0" w:line="9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have granted the underwriters an option for a period of 30 days to purchase up to 2,175,000 additional shares of our common stock.</w:t>
      </w:r>
    </w:p>
    <w:p>
      <w:pPr>
        <w:spacing w:after="0" w:line="6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137,427,466 shares (or 139,602,466 shares if the underwriters exercise their option to purchase additional shares in full).</w:t>
      </w:r>
    </w:p>
    <w:p>
      <w:pPr>
        <w:spacing w:after="0" w:line="75"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we receive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 See “Use of proceeds” for additional information.</w:t>
      </w:r>
    </w:p>
    <w:p>
      <w:pPr>
        <w:spacing w:after="0" w:line="7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At our request, the underwriters have reserved up to 725,000 shares of common stock, or 5% of the shares offered by this prospectus for sale, at the initial public offering price through a directed share program to eligible instructors on our platform.</w:t>
      </w:r>
    </w:p>
    <w:p>
      <w:pPr>
        <w:spacing w:after="0" w:line="7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Instructors in good standing with our Trust &amp; Safety team who have at least one active, published course on our platform and at least 10 enrolled learners as of October 1, 2021 are potentially eligible for the program. Instructors must also have an active tax form on file with us and reside in the U.S. or selected international jurisdictions to be potentially eligible for the program. If demand for the program exceeds capacity in a particular jurisdiction, we may invite instructors to participate based on lifetime earnings through our platform.</w:t>
      </w:r>
    </w:p>
    <w:p>
      <w:pPr>
        <w:spacing w:after="0" w:line="68"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The number of shares of common stock available for sale to the general public will be reduced to the extent that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See “Underwriters—Directed share program.”</w:t>
      </w:r>
    </w:p>
    <w:p>
      <w:pPr>
        <w:spacing w:after="0" w:line="77"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Prior to the date hereof, certain funds and accounts managed by entities affiliated with Caledonia US, LP and Caledonia (Private) Investments Pty Limited, or collectively, the cornerstone investor, have indicated an interest in purchasing an aggregate of up to $75.0 million in shares of our common stock offered in this offering at the initial public offering price. Because this indication of interest is not a binding agreement or commitment to purchase, the cornerstone investor could determine to purchase more, less, or no shares in this offering or the underwriters could determine to sell more, less, or no shares to the cornerstone investor. The</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118"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340" w:right="440"/>
        <w:spacing w:after="0"/>
        <w:rPr>
          <w:sz w:val="20"/>
          <w:szCs w:val="20"/>
          <w:color w:val="auto"/>
        </w:rPr>
      </w:pPr>
      <w:r>
        <w:rPr>
          <w:rFonts w:ascii="Arial" w:cs="Arial" w:eastAsia="Arial" w:hAnsi="Arial"/>
          <w:sz w:val="18"/>
          <w:szCs w:val="18"/>
          <w:color w:val="auto"/>
        </w:rPr>
        <w:t>underwriters will receive the same discount on any shares of common stock purchased by the cornerstone investor as they will from any other shares sold to the public in this offering.</w:t>
      </w:r>
    </w:p>
    <w:p>
      <w:pPr>
        <w:sectPr>
          <w:pgSz w:w="11900" w:h="16838" w:orient="portrait"/>
          <w:cols w:equalWidth="0" w:num="1">
            <w:col w:w="11140"/>
          </w:cols>
          <w:pgMar w:left="320" w:top="459" w:right="439" w:bottom="1440" w:gutter="0" w:footer="0" w:header="0"/>
        </w:sectPr>
      </w:pPr>
    </w:p>
    <w:p>
      <w:pPr>
        <w:spacing w:after="0" w:line="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See “Risk factors” for a discussion of factors you should carefully consider before deciding to invest in shares of our common stock.</w:t>
      </w:r>
    </w:p>
    <w:p>
      <w:pPr>
        <w:spacing w:after="0" w:line="4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trading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“UDMY”</w:t>
      </w:r>
    </w:p>
    <w:p>
      <w:pPr>
        <w:spacing w:after="0" w:line="129"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00" w:right="220"/>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is based on 122,927,466 shares of our common stock outstanding as of June 30, 2021, and excludes:</w:t>
      </w:r>
    </w:p>
    <w:p>
      <w:pPr>
        <w:spacing w:after="0" w:line="102" w:lineRule="exact"/>
        <w:rPr>
          <w:sz w:val="20"/>
          <w:szCs w:val="20"/>
          <w:color w:val="auto"/>
        </w:rPr>
      </w:pPr>
    </w:p>
    <w:p>
      <w:pPr>
        <w:ind w:left="900" w:right="240" w:hanging="291"/>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20,173,022 shares of common stock issuable upon the exercise of stock options outstanding as of June 30, 2021 with a weighted-average exercise price of $7.39 per share, which excludes 103,663 stock appreciation rights outstanding that will be settled in cash upon exercise;</w:t>
      </w:r>
    </w:p>
    <w:p>
      <w:pPr>
        <w:spacing w:after="0" w:line="108" w:lineRule="exact"/>
        <w:rPr>
          <w:rFonts w:ascii="Arial" w:cs="Arial" w:eastAsia="Arial" w:hAnsi="Arial"/>
          <w:sz w:val="18"/>
          <w:szCs w:val="18"/>
          <w:color w:val="auto"/>
        </w:rPr>
      </w:pPr>
    </w:p>
    <w:p>
      <w:pPr>
        <w:ind w:left="900" w:right="260" w:hanging="291"/>
        <w:spacing w:after="0" w:line="23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772,900 shares of common stock reserved for future issuance under our 2010 Equity Incentive Plan, as amended, or our 2010 Plan, as of June 30, 2021, and an additional 850,000 shares of common stock reserved for future issuance under our 2010 Plan after June 30, 2021 provided that we will cease granting awards under our 2010 Plan upon the effectiveness of our 2021 Equity Incentive Plan, or our 2021 Plan;</w:t>
      </w:r>
    </w:p>
    <w:p>
      <w:pPr>
        <w:spacing w:after="0" w:line="110" w:lineRule="exact"/>
        <w:rPr>
          <w:rFonts w:ascii="Arial" w:cs="Arial" w:eastAsia="Arial" w:hAnsi="Arial"/>
          <w:sz w:val="18"/>
          <w:szCs w:val="18"/>
          <w:color w:val="auto"/>
        </w:rPr>
      </w:pPr>
    </w:p>
    <w:p>
      <w:pPr>
        <w:ind w:left="900" w:right="300" w:hanging="291"/>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13,800,000 shares of common stock reserved for future issuance under our 2021 Plan, which became effective in connection with this offering;</w:t>
      </w:r>
    </w:p>
    <w:p>
      <w:pPr>
        <w:spacing w:after="0" w:line="102" w:lineRule="exact"/>
        <w:rPr>
          <w:rFonts w:ascii="Arial" w:cs="Arial" w:eastAsia="Arial" w:hAnsi="Arial"/>
          <w:sz w:val="18"/>
          <w:szCs w:val="18"/>
          <w:color w:val="auto"/>
        </w:rPr>
      </w:pPr>
    </w:p>
    <w:p>
      <w:pPr>
        <w:ind w:left="900" w:right="300" w:hanging="291"/>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2,800,000 shares of common stock reserved for future issuance under our 2021 Employee Stock Purchase Plan, or our 2021 ESPP, which became effective in connection with this offering;</w:t>
      </w:r>
    </w:p>
    <w:p>
      <w:pPr>
        <w:spacing w:after="0" w:line="102" w:lineRule="exact"/>
        <w:rPr>
          <w:rFonts w:ascii="Arial" w:cs="Arial" w:eastAsia="Arial" w:hAnsi="Arial"/>
          <w:sz w:val="18"/>
          <w:szCs w:val="18"/>
          <w:color w:val="auto"/>
        </w:rPr>
      </w:pPr>
    </w:p>
    <w:p>
      <w:pPr>
        <w:ind w:left="900" w:right="660" w:hanging="291"/>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61,300 shares of common stock issued by us in August 2021 to a former stockholder of CUX (d/b/a CorpU), or CorpU, in connection with our acquisition of CorpU;</w:t>
      </w:r>
    </w:p>
    <w:p>
      <w:pPr>
        <w:spacing w:after="0" w:line="102" w:lineRule="exact"/>
        <w:rPr>
          <w:rFonts w:ascii="Arial" w:cs="Arial" w:eastAsia="Arial" w:hAnsi="Arial"/>
          <w:sz w:val="18"/>
          <w:szCs w:val="18"/>
          <w:color w:val="auto"/>
        </w:rPr>
      </w:pPr>
    </w:p>
    <w:p>
      <w:pPr>
        <w:ind w:left="900" w:right="360" w:hanging="291"/>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1,773,605 stock options to purchase shares of common stock granted after June 30, 2021 with a weighted-average exercise price of $34.14 per share; and</w:t>
      </w:r>
    </w:p>
    <w:p>
      <w:pPr>
        <w:spacing w:after="0" w:line="102" w:lineRule="exact"/>
        <w:rPr>
          <w:rFonts w:ascii="Arial" w:cs="Arial" w:eastAsia="Arial" w:hAnsi="Arial"/>
          <w:sz w:val="18"/>
          <w:szCs w:val="18"/>
          <w:color w:val="auto"/>
        </w:rPr>
      </w:pPr>
    </w:p>
    <w:p>
      <w:pPr>
        <w:ind w:left="900" w:right="640" w:hanging="291"/>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782,746 shares of common stock issued upon the exercise of stock options after June 30, 2021 with a weighted-average exercise price of $4.31 per share.</w:t>
      </w:r>
    </w:p>
    <w:p>
      <w:pPr>
        <w:spacing w:after="0" w:line="89" w:lineRule="exact"/>
        <w:rPr>
          <w:sz w:val="20"/>
          <w:szCs w:val="20"/>
          <w:color w:val="auto"/>
        </w:rPr>
      </w:pPr>
    </w:p>
    <w:p>
      <w:pPr>
        <w:ind w:left="300" w:right="320"/>
        <w:spacing w:after="0" w:line="238" w:lineRule="auto"/>
        <w:rPr>
          <w:sz w:val="20"/>
          <w:szCs w:val="20"/>
          <w:color w:val="auto"/>
        </w:rPr>
      </w:pPr>
      <w:r>
        <w:rPr>
          <w:rFonts w:ascii="Arial" w:cs="Arial" w:eastAsia="Arial" w:hAnsi="Arial"/>
          <w:sz w:val="18"/>
          <w:szCs w:val="18"/>
          <w:color w:val="auto"/>
        </w:rPr>
        <w:t>Our 2021 Plan and our 2021 ESPP each provide for annual automatic increases in the number of shares reserved thereunder, and our 2021 Plan also provides for increases to the number of shares that may be granted thereunder based on awards under our 2010 Plan that expire, are forfeited, or otherwise repurchased by us, as more fully described in “Executive compensation—Employee benefit and stock plans.”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this prospectus assumes or gives effect to the following:</w:t>
      </w:r>
    </w:p>
    <w:p>
      <w:pPr>
        <w:spacing w:after="0" w:line="117" w:lineRule="exact"/>
        <w:rPr>
          <w:sz w:val="20"/>
          <w:szCs w:val="20"/>
          <w:color w:val="auto"/>
        </w:rPr>
      </w:pPr>
    </w:p>
    <w:p>
      <w:pPr>
        <w:ind w:left="900" w:hanging="291"/>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options or stock warrants;</w:t>
      </w:r>
    </w:p>
    <w:p>
      <w:pPr>
        <w:spacing w:after="0" w:line="117" w:lineRule="exact"/>
        <w:rPr>
          <w:rFonts w:ascii="Arial" w:cs="Arial" w:eastAsia="Arial" w:hAnsi="Arial"/>
          <w:sz w:val="18"/>
          <w:szCs w:val="18"/>
          <w:color w:val="auto"/>
        </w:rPr>
      </w:pPr>
    </w:p>
    <w:p>
      <w:pPr>
        <w:ind w:left="900" w:hanging="291"/>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900" w:right="340" w:hanging="291"/>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as of June 30, 2021 into an aggregate of 85,403,933 shares of our common stock immediately prior to the completion of this offering; and</w:t>
      </w:r>
    </w:p>
    <w:p>
      <w:pPr>
        <w:spacing w:after="0" w:line="102" w:lineRule="exact"/>
        <w:rPr>
          <w:rFonts w:ascii="Arial" w:cs="Arial" w:eastAsia="Arial" w:hAnsi="Arial"/>
          <w:sz w:val="18"/>
          <w:szCs w:val="18"/>
          <w:color w:val="auto"/>
        </w:rPr>
      </w:pPr>
    </w:p>
    <w:p>
      <w:pPr>
        <w:ind w:left="900" w:right="600" w:hanging="291"/>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auto"/>
        </w:rPr>
        <w:t>Summary consolidated financial and other data</w:t>
      </w:r>
    </w:p>
    <w:p>
      <w:pPr>
        <w:spacing w:after="0" w:line="143" w:lineRule="exact"/>
        <w:rPr>
          <w:sz w:val="20"/>
          <w:szCs w:val="20"/>
          <w:color w:val="auto"/>
        </w:rPr>
      </w:pPr>
    </w:p>
    <w:p>
      <w:pPr>
        <w:ind w:left="300" w:right="280"/>
        <w:spacing w:after="0" w:line="236" w:lineRule="auto"/>
        <w:rPr>
          <w:sz w:val="20"/>
          <w:szCs w:val="20"/>
          <w:color w:val="auto"/>
        </w:rPr>
      </w:pPr>
      <w:r>
        <w:rPr>
          <w:rFonts w:ascii="Arial" w:cs="Arial" w:eastAsia="Arial" w:hAnsi="Arial"/>
          <w:sz w:val="18"/>
          <w:szCs w:val="18"/>
          <w:color w:val="auto"/>
        </w:rPr>
        <w:t>The following tables summarize our consolidated financial and other data for the periods and as of the dates indicated. We have derived our summary consolidated statements of operations data for the years ended December 31, 2019 and 2020 from our audited consolidated financial statements appearing elsewhere in this prospectus. The summary consolidated statements of operations data for the six months ended June 30, 2020 and 2021, and the summary consolidated balance sheet data as of June 30, 2021, are derived from our unaudited interim consolidated financial statements included elsewhere in this prospectus. We have prepared the unaudited interim consolidated financial statements on a basis substantially consistent with our audited consolidated financial statements as of and for the years ended December 31, 2019 and 2020, and the unaudited interim consolidated financial statements include all normal recurring adjustments necessary for a fair statement of the financial information set forth in those unaudited interim consolidated financial statements. You should read the following summary consolidated financial and other data together with our audited consolidated financial statements and unaudited interim consolidated financial statements and the related notes appearing elsewhere in this prospectus and the information in “Selected consolidated financial and other data” and “Management’s discussion and analysis of financial condition and results of operations.” Our historical and interim results are not necessarily indicative of the results to be expected for the full year or any other period in the future.</w:t>
      </w:r>
    </w:p>
    <w:p>
      <w:pPr>
        <w:sectPr>
          <w:pgSz w:w="11900" w:h="16838" w:orient="portrait"/>
          <w:cols w:equalWidth="0" w:num="1">
            <w:col w:w="11140"/>
          </w:cols>
          <w:pgMar w:left="320" w:top="459" w:right="439" w:bottom="1440" w:gutter="0" w:footer="0" w:header="0"/>
        </w:sect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p>
      <w:pPr>
        <w:ind w:left="4660"/>
        <w:spacing w:after="0"/>
        <w:tabs>
          <w:tab w:leader="none" w:pos="6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5"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(in thousands, except share and</w:t>
      </w:r>
    </w:p>
    <w:p>
      <w:pPr>
        <w:jc w:val="center"/>
        <w:ind w:left="3960"/>
        <w:spacing w:after="0" w:line="237" w:lineRule="auto"/>
        <w:rPr>
          <w:sz w:val="20"/>
          <w:szCs w:val="20"/>
          <w:color w:val="auto"/>
        </w:rPr>
      </w:pPr>
      <w:r>
        <w:rPr>
          <w:rFonts w:ascii="Arial" w:cs="Arial" w:eastAsia="Arial" w:hAnsi="Arial"/>
          <w:sz w:val="14"/>
          <w:szCs w:val="14"/>
          <w:b w:val="1"/>
          <w:bCs w:val="1"/>
          <w:color w:val="auto"/>
        </w:rPr>
        <w:t>per share amounts)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Six months ended June 30,</w:t>
      </w:r>
    </w:p>
    <w:p>
      <w:pPr>
        <w:spacing w:after="0" w:line="29"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5"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(in thousands, except share and</w:t>
      </w:r>
    </w:p>
    <w:p>
      <w:pPr>
        <w:jc w:val="center"/>
        <w:ind w:right="700"/>
        <w:spacing w:after="0" w:line="237" w:lineRule="auto"/>
        <w:rPr>
          <w:sz w:val="20"/>
          <w:szCs w:val="20"/>
          <w:color w:val="auto"/>
        </w:rPr>
      </w:pPr>
      <w:r>
        <w:rPr>
          <w:rFonts w:ascii="Arial" w:cs="Arial" w:eastAsia="Arial" w:hAnsi="Arial"/>
          <w:sz w:val="14"/>
          <w:szCs w:val="14"/>
          <w:b w:val="1"/>
          <w:bCs w:val="1"/>
          <w:color w:val="auto"/>
        </w:rPr>
        <w:t>per share amounts)</w:t>
      </w:r>
    </w:p>
    <w:p>
      <w:pPr>
        <w:spacing w:after="0" w:line="21" w:lineRule="exact"/>
        <w:rPr>
          <w:sz w:val="20"/>
          <w:szCs w:val="20"/>
          <w:color w:val="auto"/>
        </w:rPr>
      </w:pPr>
    </w:p>
    <w:p>
      <w:pPr>
        <w:sectPr>
          <w:pgSz w:w="11900" w:h="16838" w:orient="portrait"/>
          <w:cols w:equalWidth="0" w:num="2">
            <w:col w:w="7520" w:space="720"/>
            <w:col w:w="2900"/>
          </w:cols>
          <w:pgMar w:left="320" w:top="459" w:right="439" w:bottom="1440" w:gutter="0" w:footer="0" w:header="0"/>
          <w:type w:val="continuous"/>
        </w:sectPr>
      </w:pPr>
    </w:p>
    <w:tbl>
      <w:tblPr>
        <w:tblLayout w:type="fixed"/>
        <w:tblInd w:w="300" w:type="dxa"/>
        <w:tblCellMar>
          <w:top w:w="0" w:type="dxa"/>
          <w:left w:w="0" w:type="dxa"/>
          <w:bottom w:w="0" w:type="dxa"/>
          <w:right w:w="0" w:type="dxa"/>
        </w:tblCellMar>
      </w:tblPr>
      <w:tr>
        <w:trPr>
          <w:trHeight w:val="198"/>
        </w:trPr>
        <w:tc>
          <w:tcPr>
            <w:tcW w:w="344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5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4"/>
                <w:szCs w:val="14"/>
                <w:color w:val="auto"/>
              </w:rPr>
              <w:t>Revenues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276,327</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429,899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201,368</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250,643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DDDDDD"/>
          </w:tcPr>
          <w:p>
            <w:pPr>
              <w:spacing w:after="0" w:line="222" w:lineRule="exact"/>
              <w:rPr>
                <w:sz w:val="20"/>
                <w:szCs w:val="20"/>
                <w:color w:val="auto"/>
              </w:rPr>
            </w:pPr>
            <w:r>
              <w:rPr>
                <w:rFonts w:ascii="Arial" w:cs="Arial" w:eastAsia="Arial" w:hAnsi="Arial"/>
                <w:sz w:val="14"/>
                <w:szCs w:val="14"/>
                <w:color w:val="auto"/>
              </w:rPr>
              <w:t>Cost of revenues</w:t>
            </w:r>
            <w:r>
              <w:rPr>
                <w:rFonts w:ascii="Arial" w:cs="Arial" w:eastAsia="Arial" w:hAnsi="Arial"/>
                <w:sz w:val="24"/>
                <w:szCs w:val="24"/>
                <w:color w:val="auto"/>
                <w:vertAlign w:val="superscript"/>
              </w:rPr>
              <w:t>(1)</w:t>
            </w:r>
          </w:p>
        </w:tc>
        <w:tc>
          <w:tcPr>
            <w:tcW w:w="50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143,510</w:t>
            </w:r>
          </w:p>
        </w:tc>
        <w:tc>
          <w:tcPr>
            <w:tcW w:w="54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209,253</w:t>
            </w:r>
          </w:p>
        </w:tc>
        <w:tc>
          <w:tcPr>
            <w:tcW w:w="54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104,670</w:t>
            </w:r>
          </w:p>
        </w:tc>
        <w:tc>
          <w:tcPr>
            <w:tcW w:w="56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113,916</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Arial" w:cs="Arial" w:eastAsia="Arial" w:hAnsi="Arial"/>
                <w:sz w:val="14"/>
                <w:szCs w:val="14"/>
                <w:color w:val="auto"/>
              </w:rPr>
              <w:t>Gross profit</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132,817</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220,646</w:t>
            </w:r>
          </w:p>
        </w:tc>
        <w:tc>
          <w:tcPr>
            <w:tcW w:w="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96,698</w:t>
            </w: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Operating expenses:</w:t>
            </w:r>
          </w:p>
        </w:tc>
        <w:tc>
          <w:tcPr>
            <w:tcW w:w="5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4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80"/>
              <w:spacing w:after="0" w:line="216"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4"/>
                <w:szCs w:val="24"/>
                <w:color w:val="auto"/>
                <w:vertAlign w:val="superscript"/>
              </w:rPr>
              <w:t>(1)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126,436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192,600</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96,176</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DDDDDD"/>
          </w:tcPr>
          <w:p>
            <w:pPr>
              <w:ind w:left="280"/>
              <w:spacing w:after="0" w:line="216"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4"/>
                <w:szCs w:val="24"/>
                <w:color w:val="auto"/>
                <w:vertAlign w:val="superscript"/>
              </w:rPr>
              <w:t>(1)</w:t>
            </w:r>
          </w:p>
        </w:tc>
        <w:tc>
          <w:tcPr>
            <w:tcW w:w="5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34,379</w:t>
            </w:r>
          </w:p>
        </w:tc>
        <w:tc>
          <w:tcPr>
            <w:tcW w:w="54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50,643</w:t>
            </w:r>
          </w:p>
        </w:tc>
        <w:tc>
          <w:tcPr>
            <w:tcW w:w="5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24,295</w:t>
            </w:r>
          </w:p>
        </w:tc>
        <w:tc>
          <w:tcPr>
            <w:tcW w:w="5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30,196</w:t>
            </w:r>
          </w:p>
        </w:tc>
        <w:tc>
          <w:tcPr>
            <w:tcW w:w="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80"/>
              <w:spacing w:after="0" w:line="216"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4"/>
                <w:szCs w:val="24"/>
                <w:color w:val="auto"/>
                <w:vertAlign w:val="superscript"/>
              </w:rPr>
              <w:t>(1)</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40,033</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50,783</w:t>
            </w:r>
          </w:p>
        </w:tc>
        <w:tc>
          <w:tcPr>
            <w:tcW w:w="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26,035</w:t>
            </w: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Total operating expenses</w:t>
            </w:r>
          </w:p>
        </w:tc>
        <w:tc>
          <w:tcPr>
            <w:tcW w:w="500" w:type="dxa"/>
            <w:vAlign w:val="bottom"/>
            <w:shd w:val="clear" w:color="auto" w:fill="DDDDDD"/>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200,848</w:t>
            </w:r>
          </w:p>
        </w:tc>
        <w:tc>
          <w:tcPr>
            <w:tcW w:w="54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294,026</w:t>
            </w:r>
          </w:p>
        </w:tc>
        <w:tc>
          <w:tcPr>
            <w:tcW w:w="540" w:type="dxa"/>
            <w:vAlign w:val="bottom"/>
            <w:shd w:val="clear" w:color="auto" w:fill="DDDDDD"/>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146,506</w:t>
            </w:r>
          </w:p>
        </w:tc>
        <w:tc>
          <w:tcPr>
            <w:tcW w:w="56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164,139</w:t>
            </w:r>
          </w:p>
        </w:tc>
        <w:tc>
          <w:tcPr>
            <w:tcW w:w="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4"/>
                <w:szCs w:val="14"/>
                <w:color w:val="auto"/>
              </w:rPr>
              <w:t>Operating loss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(68,031)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(73,380)</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(49,808)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Other income (expense), net:</w:t>
            </w:r>
          </w:p>
        </w:tc>
        <w:tc>
          <w:tcPr>
            <w:tcW w:w="5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56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80"/>
              <w:spacing w:after="0"/>
              <w:rPr>
                <w:sz w:val="20"/>
                <w:szCs w:val="20"/>
                <w:color w:val="auto"/>
              </w:rPr>
            </w:pPr>
            <w:r>
              <w:rPr>
                <w:rFonts w:ascii="Arial" w:cs="Arial" w:eastAsia="Arial" w:hAnsi="Arial"/>
                <w:sz w:val="14"/>
                <w:szCs w:val="14"/>
                <w:color w:val="auto"/>
              </w:rPr>
              <w:t>Interest income (expense), net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(1,014)</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DDDDDD"/>
          </w:tcPr>
          <w:p>
            <w:pPr>
              <w:ind w:left="280"/>
              <w:spacing w:after="0"/>
              <w:rPr>
                <w:sz w:val="20"/>
                <w:szCs w:val="20"/>
                <w:color w:val="auto"/>
              </w:rPr>
            </w:pPr>
            <w:r>
              <w:rPr>
                <w:rFonts w:ascii="Arial" w:cs="Arial" w:eastAsia="Arial" w:hAnsi="Arial"/>
                <w:sz w:val="14"/>
                <w:szCs w:val="14"/>
                <w:color w:val="auto"/>
              </w:rPr>
              <w:t>Other income (expense), net</w:t>
            </w:r>
          </w:p>
        </w:tc>
        <w:tc>
          <w:tcPr>
            <w:tcW w:w="50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(384)</w:t>
            </w:r>
          </w:p>
        </w:tc>
        <w:tc>
          <w:tcPr>
            <w:tcW w:w="54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55</w:t>
            </w:r>
          </w:p>
        </w:tc>
        <w:tc>
          <w:tcPr>
            <w:tcW w:w="54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138</w:t>
            </w:r>
          </w:p>
        </w:tc>
        <w:tc>
          <w:tcPr>
            <w:tcW w:w="56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(518)</w:t>
            </w:r>
          </w:p>
        </w:tc>
        <w:tc>
          <w:tcPr>
            <w:tcW w:w="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460"/>
              <w:spacing w:after="0"/>
              <w:rPr>
                <w:sz w:val="20"/>
                <w:szCs w:val="20"/>
                <w:color w:val="auto"/>
              </w:rPr>
            </w:pPr>
            <w:r>
              <w:rPr>
                <w:rFonts w:ascii="Arial" w:cs="Arial" w:eastAsia="Arial" w:hAnsi="Arial"/>
                <w:sz w:val="14"/>
                <w:szCs w:val="14"/>
                <w:color w:val="auto"/>
              </w:rPr>
              <w:t>Total other income (expense), net</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Net loss before taxes</w:t>
            </w:r>
          </w:p>
        </w:tc>
        <w:tc>
          <w:tcPr>
            <w:tcW w:w="5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(68,328)</w:t>
            </w:r>
          </w:p>
        </w:tc>
        <w:tc>
          <w:tcPr>
            <w:tcW w:w="54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(74,471)</w:t>
            </w:r>
          </w:p>
        </w:tc>
        <w:tc>
          <w:tcPr>
            <w:tcW w:w="5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(50,684)</w:t>
            </w:r>
          </w:p>
        </w:tc>
        <w:tc>
          <w:tcPr>
            <w:tcW w:w="5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(28,321)</w:t>
            </w:r>
          </w:p>
        </w:tc>
        <w:tc>
          <w:tcPr>
            <w:tcW w:w="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4"/>
                <w:szCs w:val="14"/>
                <w:color w:val="auto"/>
              </w:rPr>
              <w:t>Income tax provision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(1,766)</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50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(69,703)</w:t>
            </w:r>
          </w:p>
        </w:tc>
        <w:tc>
          <w:tcPr>
            <w:tcW w:w="54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(77,620)</w:t>
            </w:r>
          </w:p>
        </w:tc>
        <w:tc>
          <w:tcPr>
            <w:tcW w:w="54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(52,450)</w:t>
            </w:r>
          </w:p>
        </w:tc>
        <w:tc>
          <w:tcPr>
            <w:tcW w:w="56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(29,380)</w:t>
            </w:r>
          </w:p>
        </w:tc>
        <w:tc>
          <w:tcPr>
            <w:tcW w:w="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common</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line="191"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22"/>
                <w:szCs w:val="22"/>
                <w:color w:val="auto"/>
                <w:vertAlign w:val="superscript"/>
              </w:rPr>
              <w:t>(2)</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(2.33)</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Weighted-average shares used to calculate net loss</w:t>
            </w:r>
          </w:p>
        </w:tc>
        <w:tc>
          <w:tcPr>
            <w:tcW w:w="5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per share attributable to common stockholders - basic</w:t>
            </w:r>
          </w:p>
        </w:tc>
        <w:tc>
          <w:tcPr>
            <w:tcW w:w="5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DDDDD"/>
          </w:tcPr>
          <w:p>
            <w:pPr>
              <w:spacing w:after="0" w:line="191" w:lineRule="exact"/>
              <w:rPr>
                <w:sz w:val="20"/>
                <w:szCs w:val="20"/>
                <w:color w:val="auto"/>
              </w:rPr>
            </w:pPr>
            <w:r>
              <w:rPr>
                <w:rFonts w:ascii="Arial" w:cs="Arial" w:eastAsia="Arial" w:hAnsi="Arial"/>
                <w:sz w:val="13"/>
                <w:szCs w:val="13"/>
                <w:color w:val="auto"/>
              </w:rPr>
              <w:t>and diluted</w:t>
            </w:r>
            <w:r>
              <w:rPr>
                <w:rFonts w:ascii="Arial" w:cs="Arial" w:eastAsia="Arial" w:hAnsi="Arial"/>
                <w:sz w:val="22"/>
                <w:szCs w:val="22"/>
                <w:color w:val="auto"/>
                <w:vertAlign w:val="superscript"/>
              </w:rPr>
              <w:t>(2)</w:t>
            </w:r>
          </w:p>
        </w:tc>
        <w:tc>
          <w:tcPr>
            <w:tcW w:w="500" w:type="dxa"/>
            <w:vAlign w:val="bottom"/>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27,096,379</w:t>
            </w:r>
          </w:p>
        </w:tc>
        <w:tc>
          <w:tcPr>
            <w:tcW w:w="540" w:type="dxa"/>
            <w:vAlign w:val="bottom"/>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33,384,438</w:t>
            </w:r>
          </w:p>
        </w:tc>
        <w:tc>
          <w:tcPr>
            <w:tcW w:w="54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32,104,638</w:t>
            </w:r>
          </w:p>
        </w:tc>
        <w:tc>
          <w:tcPr>
            <w:tcW w:w="560" w:type="dxa"/>
            <w:vAlign w:val="bottom"/>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36,726,992</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Pro forma net loss per share attributable to common</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line="191" w:lineRule="exact"/>
              <w:rPr>
                <w:sz w:val="20"/>
                <w:szCs w:val="20"/>
                <w:color w:val="auto"/>
              </w:rPr>
            </w:pPr>
            <w:r>
              <w:rPr>
                <w:rFonts w:ascii="Arial" w:cs="Arial" w:eastAsia="Arial" w:hAnsi="Arial"/>
                <w:sz w:val="13"/>
                <w:szCs w:val="13"/>
                <w:color w:val="auto"/>
              </w:rPr>
              <w:t>stockholders—basic and diluted</w:t>
            </w:r>
            <w:r>
              <w:rPr>
                <w:rFonts w:ascii="Arial" w:cs="Arial" w:eastAsia="Arial" w:hAnsi="Arial"/>
                <w:sz w:val="22"/>
                <w:szCs w:val="22"/>
                <w:color w:val="auto"/>
                <w:vertAlign w:val="superscript"/>
              </w:rPr>
              <w:t>(2)</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(0.65)</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40" w:type="dxa"/>
            <w:vAlign w:val="bottom"/>
            <w:shd w:val="clear" w:color="auto" w:fill="DDDDDD"/>
          </w:tcPr>
          <w:p>
            <w:pPr>
              <w:spacing w:after="0"/>
              <w:rPr>
                <w:sz w:val="20"/>
                <w:szCs w:val="20"/>
                <w:color w:val="auto"/>
              </w:rPr>
            </w:pPr>
            <w:r>
              <w:rPr>
                <w:rFonts w:ascii="Arial" w:cs="Arial" w:eastAsia="Arial" w:hAnsi="Arial"/>
                <w:sz w:val="14"/>
                <w:szCs w:val="14"/>
                <w:color w:val="auto"/>
              </w:rPr>
              <w:t>Weighted-average shares used to compute pro forma</w:t>
            </w:r>
          </w:p>
        </w:tc>
        <w:tc>
          <w:tcPr>
            <w:tcW w:w="5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net loss per share attributable to common</w:t>
            </w:r>
          </w:p>
        </w:tc>
        <w:tc>
          <w:tcPr>
            <w:tcW w:w="5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DDDDD"/>
          </w:tcPr>
          <w:p>
            <w:pPr>
              <w:spacing w:after="0" w:line="191" w:lineRule="exact"/>
              <w:rPr>
                <w:sz w:val="20"/>
                <w:szCs w:val="20"/>
                <w:color w:val="auto"/>
              </w:rPr>
            </w:pPr>
            <w:r>
              <w:rPr>
                <w:rFonts w:ascii="Arial" w:cs="Arial" w:eastAsia="Arial" w:hAnsi="Arial"/>
                <w:sz w:val="13"/>
                <w:szCs w:val="13"/>
                <w:color w:val="auto"/>
              </w:rPr>
              <w:t>stockholders—basic and diluted</w:t>
            </w:r>
            <w:r>
              <w:rPr>
                <w:rFonts w:ascii="Arial" w:cs="Arial" w:eastAsia="Arial" w:hAnsi="Arial"/>
                <w:sz w:val="22"/>
                <w:szCs w:val="22"/>
                <w:color w:val="auto"/>
                <w:vertAlign w:val="superscript"/>
              </w:rPr>
              <w:t>(2)</w:t>
            </w:r>
          </w:p>
        </w:tc>
        <w:tc>
          <w:tcPr>
            <w:tcW w:w="5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118,775,776</w:t>
            </w:r>
          </w:p>
        </w:tc>
        <w:tc>
          <w:tcPr>
            <w:tcW w:w="54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122,130,925</w:t>
            </w: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81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20" w:hanging="422"/>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Stock-based compensation expense included in the consolidated statements of operations data above was as follows: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280" w:type="dxa"/>
            <w:vAlign w:val="bottom"/>
            <w:tcBorders>
              <w:bottom w:val="single" w:sz="8" w:color="DDDDDD"/>
            </w:tcBorders>
          </w:tcPr>
          <w:p>
            <w:pPr>
              <w:spacing w:after="0"/>
              <w:rPr>
                <w:sz w:val="13"/>
                <w:szCs w:val="13"/>
                <w:color w:val="auto"/>
              </w:rPr>
            </w:pPr>
          </w:p>
        </w:tc>
        <w:tc>
          <w:tcPr>
            <w:tcW w:w="560" w:type="dxa"/>
            <w:vAlign w:val="bottom"/>
            <w:tcBorders>
              <w:bottom w:val="single" w:sz="8" w:color="DDDDDD"/>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DDDDDD"/>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580" w:type="dxa"/>
            <w:vAlign w:val="bottom"/>
            <w:tcBorders>
              <w:bottom w:val="single" w:sz="8" w:color="DDDDDD"/>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DDDDDD"/>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DDDDDD"/>
            </w:tcBorders>
          </w:tcPr>
          <w:p>
            <w:pPr>
              <w:spacing w:after="0"/>
              <w:rPr>
                <w:sz w:val="13"/>
                <w:szCs w:val="13"/>
                <w:color w:val="auto"/>
              </w:rPr>
            </w:pPr>
          </w:p>
        </w:tc>
      </w:tr>
      <w:tr>
        <w:trPr>
          <w:trHeight w:val="196"/>
        </w:trPr>
        <w:tc>
          <w:tcPr>
            <w:tcW w:w="3280" w:type="dxa"/>
            <w:vAlign w:val="bottom"/>
            <w:shd w:val="clear" w:color="auto" w:fill="DDDDDD"/>
          </w:tcPr>
          <w:p>
            <w:pPr>
              <w:spacing w:after="0"/>
              <w:rPr>
                <w:sz w:val="20"/>
                <w:szCs w:val="20"/>
                <w:color w:val="auto"/>
              </w:rPr>
            </w:pPr>
            <w:r>
              <w:rPr>
                <w:rFonts w:ascii="Arial" w:cs="Arial" w:eastAsia="Arial" w:hAnsi="Arial"/>
                <w:sz w:val="14"/>
                <w:szCs w:val="14"/>
                <w:color w:val="auto"/>
              </w:rPr>
              <w:t>Cost of revenues</w:t>
            </w:r>
          </w:p>
        </w:tc>
        <w:tc>
          <w:tcPr>
            <w:tcW w:w="1280" w:type="dxa"/>
            <w:vAlign w:val="bottom"/>
            <w:gridSpan w:val="2"/>
            <w:shd w:val="clear" w:color="auto" w:fill="DDDDDD"/>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299</w:t>
            </w:r>
          </w:p>
        </w:tc>
        <w:tc>
          <w:tcPr>
            <w:tcW w:w="1400" w:type="dxa"/>
            <w:vAlign w:val="bottom"/>
            <w:gridSpan w:val="2"/>
            <w:shd w:val="clear" w:color="auto" w:fill="DDDDDD"/>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418</w:t>
            </w:r>
          </w:p>
        </w:tc>
        <w:tc>
          <w:tcPr>
            <w:tcW w:w="88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191</w:t>
            </w:r>
          </w:p>
        </w:tc>
        <w:tc>
          <w:tcPr>
            <w:tcW w:w="8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537</w:t>
            </w:r>
          </w:p>
        </w:tc>
        <w:tc>
          <w:tcPr>
            <w:tcW w:w="40" w:type="dxa"/>
            <w:vAlign w:val="bottom"/>
            <w:shd w:val="clear" w:color="auto" w:fill="DDDDDD"/>
          </w:tcPr>
          <w:p>
            <w:pPr>
              <w:spacing w:after="0"/>
              <w:rPr>
                <w:sz w:val="17"/>
                <w:szCs w:val="17"/>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4"/>
                <w:szCs w:val="14"/>
                <w:color w:val="auto"/>
              </w:rPr>
              <w:t>Sales and marketing</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3,001</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7,518</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5,422</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3,636</w:t>
            </w:r>
          </w:p>
        </w:tc>
        <w:tc>
          <w:tcPr>
            <w:tcW w:w="40" w:type="dxa"/>
            <w:vAlign w:val="bottom"/>
          </w:tcPr>
          <w:p>
            <w:pPr>
              <w:spacing w:after="0"/>
              <w:rPr>
                <w:sz w:val="15"/>
                <w:szCs w:val="15"/>
                <w:color w:val="auto"/>
              </w:rPr>
            </w:pPr>
          </w:p>
        </w:tc>
      </w:tr>
      <w:tr>
        <w:trPr>
          <w:trHeight w:val="222"/>
        </w:trPr>
        <w:tc>
          <w:tcPr>
            <w:tcW w:w="3280" w:type="dxa"/>
            <w:vAlign w:val="bottom"/>
            <w:shd w:val="clear" w:color="auto" w:fill="DDDDDD"/>
          </w:tcPr>
          <w:p>
            <w:pPr>
              <w:spacing w:after="0"/>
              <w:rPr>
                <w:sz w:val="20"/>
                <w:szCs w:val="20"/>
                <w:color w:val="auto"/>
              </w:rPr>
            </w:pPr>
            <w:r>
              <w:rPr>
                <w:rFonts w:ascii="Arial" w:cs="Arial" w:eastAsia="Arial" w:hAnsi="Arial"/>
                <w:sz w:val="14"/>
                <w:szCs w:val="14"/>
                <w:color w:val="auto"/>
              </w:rPr>
              <w:t>Research and development</w:t>
            </w:r>
          </w:p>
        </w:tc>
        <w:tc>
          <w:tcPr>
            <w:tcW w:w="5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96"/>
              </w:rPr>
              <w:t>2,357</w:t>
            </w:r>
          </w:p>
        </w:tc>
        <w:tc>
          <w:tcPr>
            <w:tcW w:w="60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5,232</w:t>
            </w:r>
          </w:p>
        </w:tc>
        <w:tc>
          <w:tcPr>
            <w:tcW w:w="58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3,184</w:t>
            </w:r>
          </w:p>
        </w:tc>
        <w:tc>
          <w:tcPr>
            <w:tcW w:w="6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3,142</w:t>
            </w:r>
          </w:p>
        </w:tc>
        <w:tc>
          <w:tcPr>
            <w:tcW w:w="40" w:type="dxa"/>
            <w:vAlign w:val="bottom"/>
            <w:shd w:val="clear" w:color="auto" w:fill="DDDDDD"/>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3,306</w:t>
            </w:r>
          </w:p>
        </w:tc>
        <w:tc>
          <w:tcPr>
            <w:tcW w:w="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18,450</w:t>
            </w: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11,806</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9,169</w:t>
            </w:r>
          </w:p>
        </w:tc>
        <w:tc>
          <w:tcPr>
            <w:tcW w:w="4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3280" w:type="dxa"/>
            <w:vAlign w:val="bottom"/>
            <w:shd w:val="clear" w:color="auto" w:fill="DDDDDD"/>
          </w:tcPr>
          <w:p>
            <w:pPr>
              <w:spacing w:after="0"/>
              <w:rPr>
                <w:sz w:val="20"/>
                <w:szCs w:val="20"/>
                <w:color w:val="auto"/>
              </w:rPr>
            </w:pPr>
            <w:r>
              <w:rPr>
                <w:rFonts w:ascii="Arial" w:cs="Arial" w:eastAsia="Arial" w:hAnsi="Arial"/>
                <w:sz w:val="14"/>
                <w:szCs w:val="14"/>
                <w:color w:val="auto"/>
              </w:rPr>
              <w:t>Total stock compensation expense</w:t>
            </w:r>
          </w:p>
        </w:tc>
        <w:tc>
          <w:tcPr>
            <w:tcW w:w="1280" w:type="dxa"/>
            <w:vAlign w:val="bottom"/>
            <w:gridSpan w:val="2"/>
            <w:shd w:val="clear" w:color="auto" w:fill="DDDDDD"/>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96"/>
              </w:rPr>
              <w:t>8,963</w:t>
            </w:r>
          </w:p>
        </w:tc>
        <w:tc>
          <w:tcPr>
            <w:tcW w:w="1400" w:type="dxa"/>
            <w:vAlign w:val="bottom"/>
            <w:gridSpan w:val="2"/>
            <w:shd w:val="clear" w:color="auto" w:fill="DDDDDD"/>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auto"/>
                <w:w w:val="97"/>
              </w:rPr>
              <w:t>31,618</w:t>
            </w:r>
          </w:p>
        </w:tc>
        <w:tc>
          <w:tcPr>
            <w:tcW w:w="88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20,603</w:t>
            </w:r>
          </w:p>
        </w:tc>
        <w:tc>
          <w:tcPr>
            <w:tcW w:w="8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16,484</w:t>
            </w:r>
          </w:p>
        </w:tc>
        <w:tc>
          <w:tcPr>
            <w:tcW w:w="40" w:type="dxa"/>
            <w:vAlign w:val="bottom"/>
            <w:shd w:val="clear" w:color="auto" w:fill="DDDDDD"/>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720" w:right="260" w:hanging="422"/>
        <w:spacing w:after="0" w:line="244"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2 and Note 14 to our audited consolidated financial statements included elsewhere in this prospectus for an explanation of the calculations of our net loss per share attributable to common stockholders, basic and diluted and the weighted-average shares used to compute these amounts. Pro forma basic net loss per share attributable to common stockholders, basic and diluted is computed to give effect to the automatic conversion of all outstanding shares of our redeemable convertible preferred stock into an aggregate of 85,391,338 and 85,403,933 shares of common stock immediately prior to the completion of this offering, as of December 31, 2020 and June 30, 2021, respectively, with the June 30, 2021 balance representing the common stock amount immediately prior to the completion of this offering. Incremental stock-based compensation incurred in connection with the completion of this offering is immaterial.</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As of June 30, 2021</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3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gridSpan w:val="2"/>
          </w:tcPr>
          <w:p>
            <w:pPr>
              <w:jc w:val="right"/>
              <w:ind w:right="813"/>
              <w:spacing w:after="0" w:line="139" w:lineRule="exact"/>
              <w:rPr>
                <w:sz w:val="20"/>
                <w:szCs w:val="20"/>
                <w:color w:val="auto"/>
              </w:rPr>
            </w:pPr>
            <w:r>
              <w:rPr>
                <w:rFonts w:ascii="Arial" w:cs="Arial" w:eastAsia="Arial" w:hAnsi="Arial"/>
                <w:sz w:val="14"/>
                <w:szCs w:val="14"/>
                <w:b w:val="1"/>
                <w:bCs w:val="1"/>
                <w:color w:val="auto"/>
              </w:rPr>
              <w:t>Pro forma</w:t>
            </w:r>
          </w:p>
        </w:tc>
      </w:tr>
      <w:tr>
        <w:trPr>
          <w:trHeight w:val="179"/>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5"/>
                <w:szCs w:val="15"/>
                <w:color w:val="auto"/>
              </w:rPr>
            </w:pPr>
          </w:p>
        </w:tc>
        <w:tc>
          <w:tcPr>
            <w:tcW w:w="1640" w:type="dxa"/>
            <w:vAlign w:val="bottom"/>
            <w:tcBorders>
              <w:bottom w:val="single" w:sz="8" w:color="auto"/>
            </w:tcBorders>
          </w:tcPr>
          <w:p>
            <w:pPr>
              <w:jc w:val="right"/>
              <w:ind w:right="331"/>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1540" w:type="dxa"/>
            <w:vAlign w:val="bottom"/>
            <w:tcBorders>
              <w:bottom w:val="single" w:sz="8" w:color="auto"/>
            </w:tcBorders>
          </w:tcPr>
          <w:p>
            <w:pPr>
              <w:jc w:val="right"/>
              <w:ind w:right="313"/>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69"/>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516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8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4"/>
                <w:szCs w:val="14"/>
                <w:color w:val="auto"/>
              </w:rPr>
              <w:t>Total current assets</w:t>
            </w:r>
          </w:p>
        </w:tc>
        <w:tc>
          <w:tcPr>
            <w:tcW w:w="1800" w:type="dxa"/>
            <w:vAlign w:val="bottom"/>
            <w:gridSpan w:val="2"/>
          </w:tcPr>
          <w:p>
            <w:pPr>
              <w:jc w:val="right"/>
              <w:ind w:right="368"/>
              <w:spacing w:after="0"/>
              <w:rPr>
                <w:sz w:val="20"/>
                <w:szCs w:val="20"/>
                <w:color w:val="auto"/>
              </w:rPr>
            </w:pPr>
            <w:r>
              <w:rPr>
                <w:rFonts w:ascii="Arial" w:cs="Arial" w:eastAsia="Arial" w:hAnsi="Arial"/>
                <w:sz w:val="14"/>
                <w:szCs w:val="14"/>
                <w:color w:val="auto"/>
              </w:rPr>
              <w:t>$ 233,523</w:t>
            </w:r>
          </w:p>
        </w:tc>
        <w:tc>
          <w:tcPr>
            <w:tcW w:w="1840" w:type="dxa"/>
            <w:vAlign w:val="bottom"/>
            <w:gridSpan w:val="2"/>
          </w:tcPr>
          <w:p>
            <w:pPr>
              <w:jc w:val="right"/>
              <w:ind w:right="431"/>
              <w:spacing w:after="0"/>
              <w:rPr>
                <w:sz w:val="20"/>
                <w:szCs w:val="20"/>
                <w:color w:val="auto"/>
              </w:rPr>
            </w:pPr>
            <w:r>
              <w:rPr>
                <w:rFonts w:ascii="Arial" w:cs="Arial" w:eastAsia="Arial" w:hAnsi="Arial"/>
                <w:sz w:val="14"/>
                <w:szCs w:val="14"/>
                <w:color w:val="auto"/>
              </w:rPr>
              <w:t>$ 233,523</w:t>
            </w:r>
          </w:p>
        </w:tc>
        <w:tc>
          <w:tcPr>
            <w:tcW w:w="1840" w:type="dxa"/>
            <w:vAlign w:val="bottom"/>
            <w:gridSpan w:val="2"/>
          </w:tcPr>
          <w:p>
            <w:pPr>
              <w:jc w:val="right"/>
              <w:ind w:right="373"/>
              <w:spacing w:after="0"/>
              <w:rPr>
                <w:sz w:val="20"/>
                <w:szCs w:val="20"/>
                <w:color w:val="auto"/>
              </w:rPr>
            </w:pPr>
            <w:r>
              <w:rPr>
                <w:rFonts w:ascii="Arial" w:cs="Arial" w:eastAsia="Arial" w:hAnsi="Arial"/>
                <w:sz w:val="14"/>
                <w:szCs w:val="14"/>
                <w:color w:val="auto"/>
              </w:rPr>
              <w:t>$ 622,792</w:t>
            </w:r>
          </w:p>
        </w:tc>
      </w:tr>
      <w:tr>
        <w:trPr>
          <w:trHeight w:val="222"/>
        </w:trPr>
        <w:tc>
          <w:tcPr>
            <w:tcW w:w="5160" w:type="dxa"/>
            <w:vAlign w:val="bottom"/>
            <w:shd w:val="clear" w:color="auto" w:fill="DDDDDD"/>
          </w:tcPr>
          <w:p>
            <w:pPr>
              <w:spacing w:after="0"/>
              <w:rPr>
                <w:sz w:val="20"/>
                <w:szCs w:val="20"/>
                <w:color w:val="auto"/>
              </w:rPr>
            </w:pPr>
            <w:r>
              <w:rPr>
                <w:rFonts w:ascii="Arial" w:cs="Arial" w:eastAsia="Arial" w:hAnsi="Arial"/>
                <w:sz w:val="14"/>
                <w:szCs w:val="14"/>
                <w:color w:val="auto"/>
              </w:rPr>
              <w:t>Total assets</w:t>
            </w:r>
          </w:p>
        </w:tc>
        <w:tc>
          <w:tcPr>
            <w:tcW w:w="1800" w:type="dxa"/>
            <w:vAlign w:val="bottom"/>
            <w:gridSpan w:val="2"/>
            <w:shd w:val="clear" w:color="auto" w:fill="DDDDDD"/>
          </w:tcPr>
          <w:p>
            <w:pPr>
              <w:jc w:val="right"/>
              <w:ind w:right="368"/>
              <w:spacing w:after="0"/>
              <w:rPr>
                <w:sz w:val="20"/>
                <w:szCs w:val="20"/>
                <w:color w:val="auto"/>
              </w:rPr>
            </w:pPr>
            <w:r>
              <w:rPr>
                <w:rFonts w:ascii="Arial" w:cs="Arial" w:eastAsia="Arial" w:hAnsi="Arial"/>
                <w:sz w:val="14"/>
                <w:szCs w:val="14"/>
                <w:color w:val="auto"/>
              </w:rPr>
              <w:t>286,668</w:t>
            </w:r>
          </w:p>
        </w:tc>
        <w:tc>
          <w:tcPr>
            <w:tcW w:w="1840" w:type="dxa"/>
            <w:vAlign w:val="bottom"/>
            <w:gridSpan w:val="2"/>
            <w:shd w:val="clear" w:color="auto" w:fill="DDDDDD"/>
          </w:tcPr>
          <w:p>
            <w:pPr>
              <w:jc w:val="right"/>
              <w:ind w:right="431"/>
              <w:spacing w:after="0"/>
              <w:rPr>
                <w:sz w:val="20"/>
                <w:szCs w:val="20"/>
                <w:color w:val="auto"/>
              </w:rPr>
            </w:pPr>
            <w:r>
              <w:rPr>
                <w:rFonts w:ascii="Arial" w:cs="Arial" w:eastAsia="Arial" w:hAnsi="Arial"/>
                <w:sz w:val="14"/>
                <w:szCs w:val="14"/>
                <w:color w:val="auto"/>
              </w:rPr>
              <w:t>286,668</w:t>
            </w:r>
          </w:p>
        </w:tc>
        <w:tc>
          <w:tcPr>
            <w:tcW w:w="1840" w:type="dxa"/>
            <w:vAlign w:val="bottom"/>
            <w:gridSpan w:val="2"/>
            <w:shd w:val="clear" w:color="auto" w:fill="DDDDDD"/>
          </w:tcPr>
          <w:p>
            <w:pPr>
              <w:jc w:val="right"/>
              <w:ind w:right="373"/>
              <w:spacing w:after="0"/>
              <w:rPr>
                <w:sz w:val="20"/>
                <w:szCs w:val="20"/>
                <w:color w:val="auto"/>
              </w:rPr>
            </w:pPr>
            <w:r>
              <w:rPr>
                <w:rFonts w:ascii="Arial" w:cs="Arial" w:eastAsia="Arial" w:hAnsi="Arial"/>
                <w:sz w:val="14"/>
                <w:szCs w:val="14"/>
                <w:color w:val="auto"/>
              </w:rPr>
              <w:t>675,937</w:t>
            </w:r>
          </w:p>
        </w:tc>
      </w:tr>
      <w:tr>
        <w:trPr>
          <w:trHeight w:val="210"/>
        </w:trPr>
        <w:tc>
          <w:tcPr>
            <w:tcW w:w="51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800" w:type="dxa"/>
            <w:vAlign w:val="bottom"/>
            <w:gridSpan w:val="2"/>
          </w:tcPr>
          <w:p>
            <w:pPr>
              <w:jc w:val="right"/>
              <w:ind w:right="368"/>
              <w:spacing w:after="0"/>
              <w:rPr>
                <w:sz w:val="20"/>
                <w:szCs w:val="20"/>
                <w:color w:val="auto"/>
              </w:rPr>
            </w:pPr>
            <w:r>
              <w:rPr>
                <w:rFonts w:ascii="Arial" w:cs="Arial" w:eastAsia="Arial" w:hAnsi="Arial"/>
                <w:sz w:val="14"/>
                <w:szCs w:val="14"/>
                <w:color w:val="auto"/>
              </w:rPr>
              <w:t>273,656</w:t>
            </w:r>
          </w:p>
        </w:tc>
        <w:tc>
          <w:tcPr>
            <w:tcW w:w="1840" w:type="dxa"/>
            <w:vAlign w:val="bottom"/>
            <w:gridSpan w:val="2"/>
          </w:tcPr>
          <w:p>
            <w:pPr>
              <w:jc w:val="right"/>
              <w:ind w:right="431"/>
              <w:spacing w:after="0"/>
              <w:rPr>
                <w:sz w:val="20"/>
                <w:szCs w:val="20"/>
                <w:color w:val="auto"/>
              </w:rPr>
            </w:pPr>
            <w:r>
              <w:rPr>
                <w:rFonts w:ascii="Arial" w:cs="Arial" w:eastAsia="Arial" w:hAnsi="Arial"/>
                <w:sz w:val="14"/>
                <w:szCs w:val="14"/>
                <w:color w:val="auto"/>
              </w:rPr>
              <w:t>273,656</w:t>
            </w:r>
          </w:p>
        </w:tc>
        <w:tc>
          <w:tcPr>
            <w:tcW w:w="1840" w:type="dxa"/>
            <w:vAlign w:val="bottom"/>
            <w:gridSpan w:val="2"/>
          </w:tcPr>
          <w:p>
            <w:pPr>
              <w:jc w:val="right"/>
              <w:ind w:right="373"/>
              <w:spacing w:after="0"/>
              <w:rPr>
                <w:sz w:val="20"/>
                <w:szCs w:val="20"/>
                <w:color w:val="auto"/>
              </w:rPr>
            </w:pPr>
            <w:r>
              <w:rPr>
                <w:rFonts w:ascii="Arial" w:cs="Arial" w:eastAsia="Arial" w:hAnsi="Arial"/>
                <w:sz w:val="14"/>
                <w:szCs w:val="14"/>
                <w:color w:val="auto"/>
              </w:rPr>
              <w:t>271,753</w:t>
            </w:r>
          </w:p>
        </w:tc>
      </w:tr>
      <w:tr>
        <w:trPr>
          <w:trHeight w:val="222"/>
        </w:trPr>
        <w:tc>
          <w:tcPr>
            <w:tcW w:w="5160" w:type="dxa"/>
            <w:vAlign w:val="bottom"/>
            <w:shd w:val="clear" w:color="auto" w:fill="DDDDDD"/>
          </w:tcPr>
          <w:p>
            <w:pPr>
              <w:spacing w:after="0"/>
              <w:rPr>
                <w:sz w:val="20"/>
                <w:szCs w:val="20"/>
                <w:color w:val="auto"/>
              </w:rPr>
            </w:pPr>
            <w:r>
              <w:rPr>
                <w:rFonts w:ascii="Arial" w:cs="Arial" w:eastAsia="Arial" w:hAnsi="Arial"/>
                <w:sz w:val="14"/>
                <w:szCs w:val="14"/>
                <w:color w:val="auto"/>
              </w:rPr>
              <w:t>Total liabilities</w:t>
            </w:r>
          </w:p>
        </w:tc>
        <w:tc>
          <w:tcPr>
            <w:tcW w:w="1800" w:type="dxa"/>
            <w:vAlign w:val="bottom"/>
            <w:gridSpan w:val="2"/>
            <w:shd w:val="clear" w:color="auto" w:fill="DDDDDD"/>
          </w:tcPr>
          <w:p>
            <w:pPr>
              <w:jc w:val="right"/>
              <w:ind w:right="368"/>
              <w:spacing w:after="0"/>
              <w:rPr>
                <w:sz w:val="20"/>
                <w:szCs w:val="20"/>
                <w:color w:val="auto"/>
              </w:rPr>
            </w:pPr>
            <w:r>
              <w:rPr>
                <w:rFonts w:ascii="Arial" w:cs="Arial" w:eastAsia="Arial" w:hAnsi="Arial"/>
                <w:sz w:val="14"/>
                <w:szCs w:val="14"/>
                <w:color w:val="auto"/>
              </w:rPr>
              <w:t>279,172</w:t>
            </w:r>
          </w:p>
        </w:tc>
        <w:tc>
          <w:tcPr>
            <w:tcW w:w="1840" w:type="dxa"/>
            <w:vAlign w:val="bottom"/>
            <w:gridSpan w:val="2"/>
            <w:shd w:val="clear" w:color="auto" w:fill="DDDDDD"/>
          </w:tcPr>
          <w:p>
            <w:pPr>
              <w:jc w:val="right"/>
              <w:ind w:right="431"/>
              <w:spacing w:after="0"/>
              <w:rPr>
                <w:sz w:val="20"/>
                <w:szCs w:val="20"/>
                <w:color w:val="auto"/>
              </w:rPr>
            </w:pPr>
            <w:r>
              <w:rPr>
                <w:rFonts w:ascii="Arial" w:cs="Arial" w:eastAsia="Arial" w:hAnsi="Arial"/>
                <w:sz w:val="14"/>
                <w:szCs w:val="14"/>
                <w:color w:val="auto"/>
              </w:rPr>
              <w:t>279,172</w:t>
            </w:r>
          </w:p>
        </w:tc>
        <w:tc>
          <w:tcPr>
            <w:tcW w:w="1840" w:type="dxa"/>
            <w:vAlign w:val="bottom"/>
            <w:gridSpan w:val="2"/>
            <w:shd w:val="clear" w:color="auto" w:fill="DDDDDD"/>
          </w:tcPr>
          <w:p>
            <w:pPr>
              <w:jc w:val="right"/>
              <w:ind w:right="373"/>
              <w:spacing w:after="0"/>
              <w:rPr>
                <w:sz w:val="20"/>
                <w:szCs w:val="20"/>
                <w:color w:val="auto"/>
              </w:rPr>
            </w:pPr>
            <w:r>
              <w:rPr>
                <w:rFonts w:ascii="Arial" w:cs="Arial" w:eastAsia="Arial" w:hAnsi="Arial"/>
                <w:sz w:val="14"/>
                <w:szCs w:val="14"/>
                <w:color w:val="auto"/>
              </w:rPr>
              <w:t>277,269</w:t>
            </w:r>
          </w:p>
        </w:tc>
      </w:tr>
      <w:tr>
        <w:trPr>
          <w:trHeight w:val="210"/>
        </w:trPr>
        <w:tc>
          <w:tcPr>
            <w:tcW w:w="5160" w:type="dxa"/>
            <w:vAlign w:val="bottom"/>
          </w:tcPr>
          <w:p>
            <w:pPr>
              <w:spacing w:after="0"/>
              <w:rPr>
                <w:sz w:val="20"/>
                <w:szCs w:val="20"/>
                <w:color w:val="auto"/>
              </w:rPr>
            </w:pPr>
            <w:r>
              <w:rPr>
                <w:rFonts w:ascii="Arial" w:cs="Arial" w:eastAsia="Arial" w:hAnsi="Arial"/>
                <w:sz w:val="14"/>
                <w:szCs w:val="14"/>
                <w:color w:val="auto"/>
              </w:rPr>
              <w:t>Redeemable convertible preferred stock</w:t>
            </w:r>
          </w:p>
        </w:tc>
        <w:tc>
          <w:tcPr>
            <w:tcW w:w="1800" w:type="dxa"/>
            <w:vAlign w:val="bottom"/>
            <w:gridSpan w:val="2"/>
          </w:tcPr>
          <w:p>
            <w:pPr>
              <w:jc w:val="right"/>
              <w:ind w:right="368"/>
              <w:spacing w:after="0"/>
              <w:rPr>
                <w:sz w:val="20"/>
                <w:szCs w:val="20"/>
                <w:color w:val="auto"/>
              </w:rPr>
            </w:pPr>
            <w:r>
              <w:rPr>
                <w:rFonts w:ascii="Arial" w:cs="Arial" w:eastAsia="Arial" w:hAnsi="Arial"/>
                <w:sz w:val="14"/>
                <w:szCs w:val="14"/>
                <w:color w:val="auto"/>
              </w:rPr>
              <w:t>274,267</w:t>
            </w:r>
          </w:p>
        </w:tc>
        <w:tc>
          <w:tcPr>
            <w:tcW w:w="200" w:type="dxa"/>
            <w:vAlign w:val="bottom"/>
          </w:tcPr>
          <w:p>
            <w:pPr>
              <w:spacing w:after="0"/>
              <w:rPr>
                <w:sz w:val="18"/>
                <w:szCs w:val="18"/>
                <w:color w:val="auto"/>
              </w:rPr>
            </w:pPr>
          </w:p>
        </w:tc>
        <w:tc>
          <w:tcPr>
            <w:tcW w:w="164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540" w:type="dxa"/>
            <w:vAlign w:val="bottom"/>
          </w:tcPr>
          <w:p>
            <w:pPr>
              <w:jc w:val="right"/>
              <w:ind w:right="373"/>
              <w:spacing w:after="0"/>
              <w:rPr>
                <w:sz w:val="20"/>
                <w:szCs w:val="20"/>
                <w:color w:val="auto"/>
              </w:rPr>
            </w:pPr>
            <w:r>
              <w:rPr>
                <w:rFonts w:ascii="Arial" w:cs="Arial" w:eastAsia="Arial" w:hAnsi="Arial"/>
                <w:sz w:val="14"/>
                <w:szCs w:val="14"/>
                <w:color w:val="auto"/>
              </w:rPr>
              <w:t>—</w:t>
            </w:r>
          </w:p>
        </w:tc>
      </w:tr>
      <w:tr>
        <w:trPr>
          <w:trHeight w:val="222"/>
        </w:trPr>
        <w:tc>
          <w:tcPr>
            <w:tcW w:w="5160" w:type="dxa"/>
            <w:vAlign w:val="bottom"/>
            <w:shd w:val="clear" w:color="auto" w:fill="DDDDDD"/>
          </w:tcPr>
          <w:p>
            <w:pPr>
              <w:spacing w:after="0"/>
              <w:rPr>
                <w:sz w:val="20"/>
                <w:szCs w:val="20"/>
                <w:color w:val="auto"/>
              </w:rPr>
            </w:pPr>
            <w:r>
              <w:rPr>
                <w:rFonts w:ascii="Arial" w:cs="Arial" w:eastAsia="Arial" w:hAnsi="Arial"/>
                <w:sz w:val="14"/>
                <w:szCs w:val="14"/>
                <w:color w:val="auto"/>
              </w:rPr>
              <w:t>Additional paid-in capital</w:t>
            </w:r>
          </w:p>
        </w:tc>
        <w:tc>
          <w:tcPr>
            <w:tcW w:w="1800" w:type="dxa"/>
            <w:vAlign w:val="bottom"/>
            <w:gridSpan w:val="2"/>
            <w:shd w:val="clear" w:color="auto" w:fill="DDDDDD"/>
          </w:tcPr>
          <w:p>
            <w:pPr>
              <w:jc w:val="right"/>
              <w:ind w:right="368"/>
              <w:spacing w:after="0"/>
              <w:rPr>
                <w:sz w:val="20"/>
                <w:szCs w:val="20"/>
                <w:color w:val="auto"/>
              </w:rPr>
            </w:pPr>
            <w:r>
              <w:rPr>
                <w:rFonts w:ascii="Arial" w:cs="Arial" w:eastAsia="Arial" w:hAnsi="Arial"/>
                <w:sz w:val="14"/>
                <w:szCs w:val="14"/>
                <w:color w:val="auto"/>
              </w:rPr>
              <w:t>141,112</w:t>
            </w:r>
          </w:p>
        </w:tc>
        <w:tc>
          <w:tcPr>
            <w:tcW w:w="1840" w:type="dxa"/>
            <w:vAlign w:val="bottom"/>
            <w:gridSpan w:val="2"/>
            <w:shd w:val="clear" w:color="auto" w:fill="DDDDDD"/>
          </w:tcPr>
          <w:p>
            <w:pPr>
              <w:jc w:val="right"/>
              <w:ind w:right="431"/>
              <w:spacing w:after="0"/>
              <w:rPr>
                <w:sz w:val="20"/>
                <w:szCs w:val="20"/>
                <w:color w:val="auto"/>
              </w:rPr>
            </w:pPr>
            <w:r>
              <w:rPr>
                <w:rFonts w:ascii="Arial" w:cs="Arial" w:eastAsia="Arial" w:hAnsi="Arial"/>
                <w:sz w:val="14"/>
                <w:szCs w:val="14"/>
                <w:color w:val="auto"/>
              </w:rPr>
              <w:t>415,378</w:t>
            </w:r>
          </w:p>
        </w:tc>
        <w:tc>
          <w:tcPr>
            <w:tcW w:w="1840" w:type="dxa"/>
            <w:vAlign w:val="bottom"/>
            <w:gridSpan w:val="2"/>
            <w:shd w:val="clear" w:color="auto" w:fill="DDDDDD"/>
          </w:tcPr>
          <w:p>
            <w:pPr>
              <w:jc w:val="right"/>
              <w:ind w:right="373"/>
              <w:spacing w:after="0"/>
              <w:rPr>
                <w:sz w:val="20"/>
                <w:szCs w:val="20"/>
                <w:color w:val="auto"/>
              </w:rPr>
            </w:pPr>
            <w:r>
              <w:rPr>
                <w:rFonts w:ascii="Arial" w:cs="Arial" w:eastAsia="Arial" w:hAnsi="Arial"/>
                <w:sz w:val="14"/>
                <w:szCs w:val="14"/>
                <w:color w:val="auto"/>
              </w:rPr>
              <w:t>806,550</w:t>
            </w:r>
          </w:p>
        </w:tc>
      </w:tr>
      <w:tr>
        <w:trPr>
          <w:trHeight w:val="204"/>
        </w:trPr>
        <w:tc>
          <w:tcPr>
            <w:tcW w:w="5160" w:type="dxa"/>
            <w:vAlign w:val="bottom"/>
          </w:tcPr>
          <w:p>
            <w:pPr>
              <w:spacing w:after="0"/>
              <w:rPr>
                <w:sz w:val="20"/>
                <w:szCs w:val="20"/>
                <w:color w:val="auto"/>
              </w:rPr>
            </w:pPr>
            <w:r>
              <w:rPr>
                <w:rFonts w:ascii="Arial" w:cs="Arial" w:eastAsia="Arial" w:hAnsi="Arial"/>
                <w:sz w:val="14"/>
                <w:szCs w:val="14"/>
                <w:color w:val="auto"/>
              </w:rPr>
              <w:t>Accumulated deficit</w:t>
            </w:r>
          </w:p>
        </w:tc>
        <w:tc>
          <w:tcPr>
            <w:tcW w:w="1800" w:type="dxa"/>
            <w:vAlign w:val="bottom"/>
            <w:gridSpan w:val="2"/>
          </w:tcPr>
          <w:p>
            <w:pPr>
              <w:jc w:val="right"/>
              <w:ind w:right="308"/>
              <w:spacing w:after="0"/>
              <w:rPr>
                <w:sz w:val="20"/>
                <w:szCs w:val="20"/>
                <w:color w:val="auto"/>
              </w:rPr>
            </w:pPr>
            <w:r>
              <w:rPr>
                <w:rFonts w:ascii="Arial" w:cs="Arial" w:eastAsia="Arial" w:hAnsi="Arial"/>
                <w:sz w:val="14"/>
                <w:szCs w:val="14"/>
                <w:color w:val="auto"/>
              </w:rPr>
              <w:t>(407,883)</w:t>
            </w:r>
          </w:p>
        </w:tc>
        <w:tc>
          <w:tcPr>
            <w:tcW w:w="1840" w:type="dxa"/>
            <w:vAlign w:val="bottom"/>
            <w:gridSpan w:val="2"/>
          </w:tcPr>
          <w:p>
            <w:pPr>
              <w:jc w:val="right"/>
              <w:ind w:right="371"/>
              <w:spacing w:after="0"/>
              <w:rPr>
                <w:sz w:val="20"/>
                <w:szCs w:val="20"/>
                <w:color w:val="auto"/>
              </w:rPr>
            </w:pPr>
            <w:r>
              <w:rPr>
                <w:rFonts w:ascii="Arial" w:cs="Arial" w:eastAsia="Arial" w:hAnsi="Arial"/>
                <w:sz w:val="14"/>
                <w:szCs w:val="14"/>
                <w:color w:val="auto"/>
              </w:rPr>
              <w:t>(407,883)</w:t>
            </w:r>
          </w:p>
        </w:tc>
        <w:tc>
          <w:tcPr>
            <w:tcW w:w="1840" w:type="dxa"/>
            <w:vAlign w:val="bottom"/>
            <w:gridSpan w:val="2"/>
          </w:tcPr>
          <w:p>
            <w:pPr>
              <w:jc w:val="right"/>
              <w:ind w:right="333"/>
              <w:spacing w:after="0"/>
              <w:rPr>
                <w:sz w:val="20"/>
                <w:szCs w:val="20"/>
                <w:color w:val="auto"/>
              </w:rPr>
            </w:pPr>
            <w:r>
              <w:rPr>
                <w:rFonts w:ascii="Arial" w:cs="Arial" w:eastAsia="Arial" w:hAnsi="Arial"/>
                <w:sz w:val="14"/>
                <w:szCs w:val="14"/>
                <w:color w:val="auto"/>
              </w:rPr>
              <w:t>(407,883)</w:t>
            </w:r>
          </w:p>
        </w:tc>
      </w:tr>
    </w:tbl>
    <w:p>
      <w:pPr>
        <w:spacing w:after="0" w:line="187" w:lineRule="exact"/>
        <w:rPr>
          <w:sz w:val="20"/>
          <w:szCs w:val="20"/>
          <w:color w:val="auto"/>
        </w:rPr>
      </w:pPr>
    </w:p>
    <w:p>
      <w:pPr>
        <w:ind w:left="720" w:right="340" w:hanging="422"/>
        <w:spacing w:after="0" w:line="248" w:lineRule="auto"/>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balance sheet data gives effect to the automatic conversion of all outstanding shares of our redeemable convertible preferred stock into an aggregate of 85,403,933 shares of our common stock which will occur immediately prior to the completion of this offering, resulting in an aggregate of 122,927,466 outstanding shares of our common stock. Incremental stock-based compensation incurred in connection with the completion of this offering is immaterial.</w:t>
      </w:r>
    </w:p>
    <w:p>
      <w:pPr>
        <w:spacing w:after="0" w:line="103" w:lineRule="exact"/>
        <w:rPr>
          <w:rFonts w:ascii="Arial" w:cs="Arial" w:eastAsia="Arial" w:hAnsi="Arial"/>
          <w:sz w:val="13"/>
          <w:szCs w:val="13"/>
          <w:color w:val="auto"/>
        </w:rPr>
      </w:pPr>
    </w:p>
    <w:p>
      <w:pPr>
        <w:ind w:left="720" w:right="260" w:hanging="422"/>
        <w:spacing w:after="0" w:line="248" w:lineRule="auto"/>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as adjusted column in the balance sheet data table above gives effect to (a) the pro forma adjustments described in footnote (1) above and (b) the issuance and sale of 14,500,000 shares of common stock in this offering at the initial public offering price of $29.00 per share, after deducting the estimated underwriting discounts and commissions and estimated offering expenses payable by us.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Risk factors</w:t>
      </w:r>
    </w:p>
    <w:p>
      <w:pPr>
        <w:spacing w:after="0" w:line="125" w:lineRule="exact"/>
        <w:rPr>
          <w:sz w:val="20"/>
          <w:szCs w:val="20"/>
          <w:color w:val="auto"/>
        </w:rPr>
      </w:pPr>
    </w:p>
    <w:p>
      <w:pPr>
        <w:ind w:left="120" w:right="60"/>
        <w:spacing w:after="0" w:line="25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and operations</w:t>
      </w:r>
    </w:p>
    <w:p>
      <w:pPr>
        <w:spacing w:after="0" w:line="216"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maintain profitability in the future.</w:t>
      </w:r>
    </w:p>
    <w:p>
      <w:pPr>
        <w:spacing w:after="0" w:line="1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incurred net losses of $69.7 million and $77.6 million during the years ended December 31, 2019 and 2020, respectively, and net losses of $52.5 million and $29.4 million during the six months ended June 30, 2020 and 2021, respectively, and, as of June 30, 2021, we had an accumulated deficit of $407.9 million. We expect our losses to continue as we make significant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will make achieving and maintaining profitability more difficult, and these efforts may also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on a consistent basis. As a result, we can provide no assurance as to whether or when we will achieve profitability. If we are not able to achieve and maintain profitability, the value of our company and our common stock could decline significantly, and you could lose some or all of your investment.</w:t>
      </w:r>
    </w:p>
    <w:p>
      <w:pPr>
        <w:spacing w:after="0" w:line="18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have a limited history and operate in an emerging and dynamic market, which makes it difficult to evaluate our prospects and future results of operations.</w:t>
      </w:r>
    </w:p>
    <w:p>
      <w:pPr>
        <w:spacing w:after="0" w:line="176"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We commenced operations in 2010 and the market for online learning solutions is relatively new. These factors may make it difficult to accurately assess our future prospects and the risks, challenges, and uncertainties that we may encounter. These risks include:</w:t>
      </w:r>
    </w:p>
    <w:p>
      <w:pPr>
        <w:spacing w:after="0" w:line="102"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increasing a base of learners, instructors, and UB customers using our platform;</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market for online learning solutions;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expanding our business in existing markets and entering new markets and geographies;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anticipating and responding to market and broader economic conditions;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avoiding interruptions or disruptions in the service of our platform;</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accurately forecasting our revenue and operating expenses on a quarterly and annual basis;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enhancing the value of our reputation and brand;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to manage our operations and further develop our platform;</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managing rapid growth in our operations, including personnel;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strategies.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Additionally, because we have limited historical financial data and operate in a rapidly evolving market, any predictions about our future revenue and expenses may not be as accurate as they would be if we had a longer operating history or operated in a more established and predictable market. We have encountered in the past, and will encounter in the future, risks, challenges, and uncertainties frequently experienced by growing companies.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w:t>
      </w:r>
    </w:p>
    <w:p>
      <w:pPr>
        <w:spacing w:after="0" w:line="18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Our results of operations may fluctuate significantly from period to period due to a wide range of factors, which makes our future results difficult to predict.</w:t>
      </w:r>
    </w:p>
    <w:p>
      <w:pPr>
        <w:spacing w:after="0" w:line="17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results of 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p>
    <w:p>
      <w:pPr>
        <w:spacing w:after="0" w:line="110" w:lineRule="exact"/>
        <w:rPr>
          <w:sz w:val="20"/>
          <w:szCs w:val="20"/>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retain learners, instructors, and enterprises that use our platform in a cost-effective manner;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accurately forecast revenue and operating expenses;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learner or customer behavior with respect to online learning solutions;</w:t>
      </w:r>
    </w:p>
    <w:p>
      <w:pPr>
        <w:spacing w:after="0" w:line="117" w:lineRule="exact"/>
        <w:rPr>
          <w:rFonts w:ascii="Arial" w:cs="Arial" w:eastAsia="Arial" w:hAnsi="Arial"/>
          <w:sz w:val="18"/>
          <w:szCs w:val="18"/>
          <w:color w:val="auto"/>
        </w:rPr>
      </w:pPr>
    </w:p>
    <w:p>
      <w:pPr>
        <w:ind w:left="980" w:right="200" w:hanging="432"/>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acquire new learners, instructors, and customers;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mix between our consumer and UB offerings;</w:t>
      </w:r>
    </w:p>
    <w:p>
      <w:pPr>
        <w:spacing w:after="0" w:line="117" w:lineRule="exact"/>
        <w:rPr>
          <w:rFonts w:ascii="Arial" w:cs="Arial" w:eastAsia="Arial" w:hAnsi="Arial"/>
          <w:sz w:val="18"/>
          <w:szCs w:val="18"/>
          <w:color w:val="auto"/>
        </w:rPr>
      </w:pPr>
    </w:p>
    <w:p>
      <w:pPr>
        <w:ind w:left="980" w:right="520" w:hanging="432"/>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worldwide economic conditions, including the resulting effect on consumer and business spending on online learning solutions;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our industry;</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rights;</w:t>
      </w:r>
    </w:p>
    <w:p>
      <w:pPr>
        <w:spacing w:after="0" w:line="117" w:lineRule="exact"/>
        <w:rPr>
          <w:rFonts w:ascii="Arial" w:cs="Arial" w:eastAsia="Arial" w:hAnsi="Arial"/>
          <w:sz w:val="18"/>
          <w:szCs w:val="18"/>
          <w:color w:val="auto"/>
        </w:rPr>
      </w:pPr>
    </w:p>
    <w:p>
      <w:pPr>
        <w:ind w:left="980" w:right="940" w:hanging="432"/>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or other regulations affecting our business;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in service and any related impact on our business, reputation, or brand;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attraction and engagement of qualified employees and key personnel;</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17" w:lineRule="exact"/>
        <w:rPr>
          <w:rFonts w:ascii="Arial" w:cs="Arial" w:eastAsia="Arial" w:hAnsi="Arial"/>
          <w:sz w:val="18"/>
          <w:szCs w:val="18"/>
          <w:color w:val="auto"/>
        </w:rPr>
      </w:pPr>
    </w:p>
    <w:p>
      <w:pPr>
        <w:ind w:left="980" w:right="180" w:hanging="432"/>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 pandemic or an outbreak of disease or similar public health concern, such as the COVID-19 pandemic, or fear of such an event;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payment processor costs and procedures;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212"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unpredictability of our results of operations could cause our results to vary from period to period or to fall below expected levels for a given period, which will adversely affect our business, financial condition, and results of operations.</w:t>
      </w:r>
    </w:p>
    <w:p>
      <w:pPr>
        <w:spacing w:after="0" w:line="175"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Our rapid growth may not be sustainable and depends on our ability to attract new learners, instructors, and organizations and retain existing ones.</w:t>
      </w:r>
    </w:p>
    <w:p>
      <w:pPr>
        <w:spacing w:after="0" w:line="17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consumer and enterprise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at its current pace or at all. For example, in 2020, we experienced a significant increase in engagement with our platform, in part as a result of the COVID-19 pandemic and the shelter in place orders and other efforts that were deployed by governments to mitigate its spread. While the COVID-19 pandemic may be accelerating an ongoing, long-term shift towards online learning, in the short term this level of demand from learners, instructors and organizations may decline as vaccines become more widely distributed and government restrictions are lifted. If we fail to grow or maintain the number of learners and instructors engaging with our platform, the value of our platform will diminish and our revenue will decline.</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believe that many of our new learners find us by word of mouth and other non-paid referrals from existing learners. If existing learners are dissatisfied with their experience on our platform, they may stop accessing our content and referring others to us. Likewise, if existing learners do not find our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 further negatively impacted. The willingness or ability of instructors to provide content for our platform could also be negatively impacted by other factors, such as:</w:t>
      </w:r>
    </w:p>
    <w:p>
      <w:pPr>
        <w:spacing w:after="0" w:line="110"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complaints or negative publicity about us or our platform, even if factually incorrect or based on isolated incidents;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revenue sharing model that are unpopular with our instructors;</w:t>
      </w:r>
    </w:p>
    <w:p>
      <w:pPr>
        <w:spacing w:after="0" w:line="117" w:lineRule="exact"/>
        <w:rPr>
          <w:rFonts w:ascii="Arial" w:cs="Arial" w:eastAsia="Arial" w:hAnsi="Arial"/>
          <w:sz w:val="18"/>
          <w:szCs w:val="18"/>
          <w:color w:val="auto"/>
        </w:rPr>
      </w:pPr>
    </w:p>
    <w:p>
      <w:pPr>
        <w:ind w:left="980" w:right="180" w:hanging="432"/>
        <w:spacing w:after="0" w:line="24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terms and policies that our instructors find, or even perceive, to be unpopular or that are not clearly articulated to them; or</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enforce our policies fairly and transparently.</w:t>
      </w:r>
    </w:p>
    <w:p>
      <w:pPr>
        <w:spacing w:after="0" w:line="21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have a material adverse effect on our results of operations. Consequently, if we are unable to retain existing learners and instructors and attract new learners and instructors who contribute and engage with our platform, our growth prospects would be harmed and our business, financial condition, and results of operations could be adversely affected.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19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As part of our instructor community, we strive to build meaningful connections with instructors, ranging from those that are well known and have created extensively to those that have just begun the process of creating courses. As of June 30, 2021, we had relationships with over 65,000 instructors. Although we view the breadth and diverse expertise of our instructor base and the content they create as one of our competitive advantages, a significant portion of the most popular content on our platform, and as a result a significant portion of our revenue, is attributable to a limited number of our instructors. For example, 5% of our instructors generated 71% and 70% of our paid marketplace enrollments during 2020 and the first half of 2021, respectively. Moreover, because instructors may unpublish content or leave the Udemy platform altogether, subject to our right to continue offering such content to new learners on the consumer marketplace for 60 days afterwards and in our subscription offerings for 12 months afterwards, we may need to source replacement content by a different instructor on short notice. Although we do not believe the loss of any one of these instructors would materially impact our business, the loss of multiple existing instructors, as well as any failure to attract additional instructors, could negatively impact our business, financial condition, and results of operations by adversely affecting our ability to provide high-quality, engaging, and relevant content for one or more subject matters and the pace at which we provide such content, which in turn could reduce the attractiveness of our platform to learners and customers.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maintain and expand our relationships with UB customers, our ability to grow our business and revenue will suffer.</w:t>
      </w:r>
    </w:p>
    <w:p>
      <w:pPr>
        <w:spacing w:after="0" w:line="23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Revenue from our enterprise segment represented 18% and 24% of our revenue during 2019 and 2020, respectively, and 22% and 31% of our revenue during the six months ended June 30, 2020 and 2021,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to continue to grow our business, it is important that our customers renew their subscriptions when existing contracts expire and that we expand our relationships with our existing customers. Customers have no obligation to renew their subscriptions, and they may decide not to renew their subscriptions with a similar contract period, at the same prices and terms, with the same or a greater number of users, or at all. We have had some customers elect not to renew their subscriptions with us in the past, and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reductions in customers’ spending levels, insufficient adoption of our platform by our customers’ constituents, and new feature releases. If customers do not purchase additional subscriptions or renew their existing subscriptions, renew on less favorable terms, or fail to continue to expand their engagement with us, our revenue may decline or grow less quickly than anticipated, which would harm our business, financial condition, and results of operations.</w:t>
      </w:r>
    </w:p>
    <w:p>
      <w:pPr>
        <w:spacing w:after="0" w:line="191"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market, and we may not be able to compete successfully against current and future competitors.</w:t>
      </w:r>
    </w:p>
    <w:p>
      <w:pPr>
        <w:spacing w:after="0" w:line="176"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We operate in a highly competitive environment, as the market for online learning is relatively new, highly fragmented, and rapidly evolving, with limited barriers to entry. We compete for learners, enterprise customers, and instructors:</w:t>
      </w:r>
    </w:p>
    <w:p>
      <w:pPr>
        <w:spacing w:after="0" w:line="84" w:lineRule="exact"/>
        <w:rPr>
          <w:sz w:val="20"/>
          <w:szCs w:val="20"/>
          <w:color w:val="auto"/>
        </w:r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Learners</w:t>
      </w:r>
      <w:r>
        <w:rPr>
          <w:rFonts w:ascii="Arial" w:cs="Arial" w:eastAsia="Arial" w:hAnsi="Arial"/>
          <w:sz w:val="17"/>
          <w:szCs w:val="17"/>
          <w:color w:val="auto"/>
        </w:rPr>
        <w:t>: We compete for learners based on our course catalog, instructors, and learning tools.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right="180" w:hanging="212"/>
        <w:spacing w:after="0" w:line="250"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UB customers</w:t>
      </w:r>
      <w:r>
        <w:rPr>
          <w:rFonts w:ascii="Arial" w:cs="Arial" w:eastAsia="Arial" w:hAnsi="Arial"/>
          <w:sz w:val="18"/>
          <w:szCs w:val="18"/>
          <w:color w:val="auto"/>
        </w:rPr>
        <w:t>: We compete for customers based on our up-to-date content, the breadth and depth of that content across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core business functions, and advanced product features that optimize self-paced learning and enable organizations to effectively drive programmatic learning.</w:t>
      </w:r>
    </w:p>
    <w:p>
      <w:pPr>
        <w:spacing w:after="0" w:line="82"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Instructors</w:t>
      </w:r>
      <w:r>
        <w:rPr>
          <w:rFonts w:ascii="Arial" w:cs="Arial" w:eastAsia="Arial" w:hAnsi="Arial"/>
          <w:sz w:val="18"/>
          <w:szCs w:val="18"/>
          <w:color w:val="auto"/>
        </w:rPr>
        <w:t>: We compete for instructors based on our ability to promote monetization opportunities.</w:t>
      </w:r>
    </w:p>
    <w:p>
      <w:pPr>
        <w:spacing w:after="0" w:line="23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Our competition includes corporate training offerings (such as those from Pluralsight, Skillsoft, and LinkedIn Learning), direct-to-consumer training offerings (such as those from Coursera and edX), specialized content training offerings (such as those from A Cloud Guru and Skillshare), and free online resources used to gather and share knowledge and skills.</w:t>
      </w:r>
    </w:p>
    <w:p>
      <w:pPr>
        <w:spacing w:after="0" w:line="2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expect our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customers may choose to continue using or develop their own online learning or training solutions in-house rather than pay for our platform.</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our competitiveness depends on a range of factors, both within and beyond our control, including:</w:t>
      </w:r>
    </w:p>
    <w:p>
      <w:pPr>
        <w:spacing w:after="0" w:line="117" w:lineRule="exact"/>
        <w:rPr>
          <w:sz w:val="20"/>
          <w:szCs w:val="20"/>
          <w:color w:val="auto"/>
        </w:rPr>
      </w:pPr>
    </w:p>
    <w:p>
      <w:pPr>
        <w:ind w:left="980" w:right="520" w:hanging="432"/>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or development of alternative online learning platforms that are more compelling to learners, instructors, or organizations than ours;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pricing policies and terms offered by our competitors or by us;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instructor revenue sharing model;</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adapt to new technologies and changes in requirements of our learners, instructors, and UB customers;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acquiring and retaining learners, instructors, and UB customers;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current and future competitors to establish relationships with customers;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consolidation and the number and rate of new entrants.</w:t>
      </w:r>
    </w:p>
    <w:p>
      <w:pPr>
        <w:spacing w:after="0" w:line="212"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Current and potential competitors (including any new entrants into the market) may enjoy substantial competitive advantages over us, such as greater name recognition, longer operating histories, market- or industry-specific knowledge, more successful marketing capabilities,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spacing w:after="0" w:line="186"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The market for online learning solutions is relatively new and may not grow as we expect, which may harm our business, financial condition, and results of operations.</w:t>
      </w:r>
    </w:p>
    <w:p>
      <w:pPr>
        <w:spacing w:after="0" w:line="17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future success will depend in part on the growth, if any, in the demand for online learning solutions. Although the COVID-19 pandemic has accelerated the demand for online learning solutions from both individuals and businesses alike, the online learning market is less mature than the market for in-person instruction and continues to evolve rapidly. There can be no assurance that the heightened levels of demand for online learning solutions experienced during the COVID-19 pandemic will continue as the effects of the pandemic, such as limitations on</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in-person activities, abate.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Furthermore, even if learners or UB customers want to adopt an online learning solution, it may take them a substantial amount of time to fully transition to this type of learning solution or they could be delayed due to budget constraints, weakening economic conditions, or other factors.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w:t>
      </w:r>
    </w:p>
    <w:p>
      <w:pPr>
        <w:spacing w:after="0" w:line="177"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Adherence to our values and our focus on long-term sustainability may negatively impact our short- or medium-term financial performance.</w:t>
      </w:r>
    </w:p>
    <w:p>
      <w:pPr>
        <w:spacing w:after="0" w:line="17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 financial results. However, these longer-term benefits may not materialize within the timeframe we expect or at all. For example:</w:t>
      </w:r>
    </w:p>
    <w:p>
      <w:pPr>
        <w:spacing w:after="0" w:line="110" w:lineRule="exact"/>
        <w:rPr>
          <w:sz w:val="20"/>
          <w:szCs w:val="20"/>
          <w:color w:val="auto"/>
        </w:rPr>
      </w:pPr>
    </w:p>
    <w:p>
      <w:pPr>
        <w:ind w:left="980" w:right="420" w:hanging="432"/>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choose to prohibit certain content from our platform that we believe is inconsistent with our values even though we could benefit financially from the sale of that content;</w:t>
      </w:r>
    </w:p>
    <w:p>
      <w:pPr>
        <w:spacing w:after="0" w:line="102" w:lineRule="exact"/>
        <w:rPr>
          <w:rFonts w:ascii="Arial" w:cs="Arial" w:eastAsia="Arial" w:hAnsi="Arial"/>
          <w:sz w:val="18"/>
          <w:szCs w:val="18"/>
          <w:color w:val="auto"/>
        </w:rPr>
      </w:pPr>
    </w:p>
    <w:p>
      <w:pPr>
        <w:ind w:left="980" w:right="40" w:hanging="432"/>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choose to revise our policies in ways that we believe will be beneficial to our learners, instructors, and UB customers in the long term even though the changes are perceived unfavorably among our existing learners, instructors, and customers; or</w:t>
      </w:r>
    </w:p>
    <w:p>
      <w:pPr>
        <w:spacing w:after="0" w:line="102" w:lineRule="exact"/>
        <w:rPr>
          <w:rFonts w:ascii="Arial" w:cs="Arial" w:eastAsia="Arial" w:hAnsi="Arial"/>
          <w:sz w:val="18"/>
          <w:szCs w:val="18"/>
          <w:color w:val="auto"/>
        </w:rPr>
      </w:pPr>
    </w:p>
    <w:p>
      <w:pPr>
        <w:ind w:left="980" w:right="420" w:hanging="432"/>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take actions, such as locating our servers in low-impact data centers, that reduce our environmental footprint even though these actions may be more costly than other alternatives.</w:t>
      </w:r>
    </w:p>
    <w:p>
      <w:pPr>
        <w:spacing w:after="0" w:line="17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The COVID-19 pandemic could affect our business, financial condition, and results of operations in volatile and unpredictable ways.</w:t>
      </w:r>
    </w:p>
    <w:p>
      <w:pPr>
        <w:spacing w:after="0" w:line="17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March 2020, the World Health Organization declared that the outbreak of COVID-19 was a global pandemic. To limit the spread of the virus, governments have imposed various restrictions, including emergency declarations at the federal, state, and local levels, school and business closings, quarantines, “shelter at home” orders, restrictions on travel and trade, limitations on social or public gatherings, and other social distancing measures.</w:t>
      </w:r>
    </w:p>
    <w:p>
      <w:pPr>
        <w:spacing w:after="0" w:line="20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full extent of the impact of the pandemic on our business, financial condition, and results of operations depends on future developments that are uncertain and unpredictable, including the duration and scope of the pandemic (including any potential future waves of the pandemic domestically and globally); governmental, business, and individual actions that have been and continue to be taken in response to the pandemic, including the availability, adoption, and effectiveness of COVID-19 vaccines; the effect on our learners, instructors, and UB customers; disruptions or restrictions on our employees’ ability to work and travel; the availability and cost to access capital markets; and interruptions related to our cloud networking and mobile app infrastructure that impact our learners, instructors, and customers. We have taken precautionary measures intended to help minimize the risk of COVID-19 to our employees, including transitioning the majority of our employees to remote work and restricting business travel. As we continue to actively monitor issues arising from the COVID-19 pandemic, we may take further actions that alter our business operations, including as may be required by federal, state, local, or foreign authorities or that we determine are in the best interests of our employees, learners, instructors, UB customers, business partners, and stockholders.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have also seen significant and rapid shifts in the traditional models of education and training as the COVID-19 pandemic has progressed. Although we believe the COVID-19 pandemic has increased the need or willingness of businesses, governments, institutions, and individuals to adopt remote, online, and asynchronous learning and training, we cannot predict whether this trend will continue as the pandemic subsides, restrictions ease and the risk and barriers associated with in-person learning and training decrease. Learners and UB customers may choose to revert to more traditional, in-person learning and training solutions following the pandemic, which could adversely affect the demand for our platform and our revenue. In addition, the COVID-19 pandemic may negatively impact the financial resources available to learners and UB customers, which could in turn negatively impact our business, financial condition, and results of operations.</w:t>
      </w:r>
    </w:p>
    <w:p>
      <w:pPr>
        <w:spacing w:after="0" w:line="186"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i w:val="1"/>
          <w:iCs w:val="1"/>
          <w:color w:val="auto"/>
        </w:rPr>
        <w:t>We may need to change our pricing model for our platform’s offerings, which in turn could adversely impact our results of operations.</w:t>
      </w:r>
    </w:p>
    <w:p>
      <w:pPr>
        <w:spacing w:after="0" w:line="176"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have in the past, and expect that we may in the future, need to change our pricing model or target contract length from time to time, which could impact our financial results. As the market for our learning platform develops, as new competitors introduce competitive applications or services, or as we enter into new international markets, we may be unable to attract new learners or UB customers at the same price or based on the same pricing models we have historically used, or for contract lengths consistent with our historical averages. In addition, as we develop and roll out new products, such as our recently launched consumer subscription model, or improve existing ones, we will need to develop pricing and contract models for these products that appeal to consumer learners over time, and we may not be successful in doing so. Pricing and contract length decisions may also impact the mix of adoption among our offerings and negatively impact our overall revenue. Competition may also require us to make substantial price concessions. Moreover, our pricing model and methodology has been, and may in the future become, subject to legal challenge under applicable federal or state laws, regulations, and guidelines relating to promotional pricing practices. For example, in August 2021, a putative class action complaint was filed against us alleging violations of California’s unfair competition and false advertising statutes as well as the California Consumer Legal Remedies Act in connection with the promotional “strike-through” pricing for courses offered on our platform, alleging that the reference prices used for comparison purposes are false or misleading. Our results of operations may be adversely affected by any of the foregoing, and we may have increased difficulty achieving or maintaining profitability.</w:t>
      </w:r>
    </w:p>
    <w:p>
      <w:pPr>
        <w:spacing w:after="0" w:line="19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base of learners and UB customers and achieve broader market acceptance.</w:t>
      </w:r>
    </w:p>
    <w:p>
      <w:pPr>
        <w:spacing w:after="0" w:line="17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w:t>
      </w:r>
    </w:p>
    <w:p>
      <w:pPr>
        <w:spacing w:after="0" w:line="20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have invested in and plan to continue expanding our sales and marketing organizations, both domestically and internationally. Identifying, recruiting, and training sales personnel will require significant time, expense, and attention. If we are unable to hire, develop, and retain talented sales or marketing personnel, if our new sales or marketing personnel are unable to achieve desired productivity levels in a reasonable period of time (including as a result of working remotely in connection with the COVID-19 pandemic),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w:t>
      </w:r>
    </w:p>
    <w:p>
      <w:pPr>
        <w:spacing w:after="0" w:line="186"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fail to effectively adapt and respond to rapidly changing technology, evolving industry standards, and changing customer needs or requirements, our platform may become less competitive.</w:t>
      </w:r>
    </w:p>
    <w:p>
      <w:pPr>
        <w:spacing w:after="0" w:line="176"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markets in which we compete are and will continue to be characterized by constant change and innovation. Our success is predicated on our ability to identify and anticipate the needs of learners, instructors, and UB</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customers and design a scalable learning experience platform that allows them to easily create and access high-quality, in-demand educational content. Our ability to attract new and retain existing learners, instructors and UB customers to our platform, and to deepen their relationships with our platform, depends in large part on our ability to continue improving and enhancing our offerings.</w:t>
      </w:r>
    </w:p>
    <w:p>
      <w:pPr>
        <w:spacing w:after="0" w:line="20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We may experience difficulties with software development that could delay or prevent the development, introduction or implementation of platform modifications and enhancements. Software development involves a significant amount of time for our technology team, as it can take developers months to update, code, and test new and upgraded features and integrate them into our platform. We must also continually update, test, and enhance our platform. The continual improvement and enhancement of our platform requires significant investment and we may not have the resources to continue making these investments. Further, there can be no assurance that the platform modifications and enhancements in which we invest will result in additional revenue sufficient to cover the cost of developing those modifications and enhancements, if any. If we are not able to improve and enhance our platform in an effective manner, our business, financial condition, and results of operations will be adversely affected.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reputation and business may suffer.</w:t>
      </w:r>
    </w:p>
    <w:p>
      <w:pPr>
        <w:spacing w:after="0" w:line="234" w:lineRule="exact"/>
        <w:rPr>
          <w:sz w:val="20"/>
          <w:szCs w:val="20"/>
          <w:color w:val="auto"/>
        </w:rPr>
      </w:pPr>
    </w:p>
    <w:p>
      <w:pPr>
        <w:ind w:left="120" w:right="360"/>
        <w:spacing w:after="0" w:line="257" w:lineRule="auto"/>
        <w:rPr>
          <w:sz w:val="20"/>
          <w:szCs w:val="20"/>
          <w:color w:val="auto"/>
        </w:rPr>
      </w:pPr>
      <w:r>
        <w:rPr>
          <w:rFonts w:ascii="Arial" w:cs="Arial" w:eastAsia="Arial" w:hAnsi="Arial"/>
          <w:sz w:val="17"/>
          <w:szCs w:val="17"/>
          <w:color w:val="auto"/>
        </w:rPr>
        <w:t>We believe that maintaining and enhancing our reputation and brand recognition is critical to our ability to attract and retain learners, instructors, UB customers, and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w:t>
      </w:r>
    </w:p>
    <w:p>
      <w:pPr>
        <w:spacing w:after="0" w:line="94" w:lineRule="exact"/>
        <w:rPr>
          <w:sz w:val="20"/>
          <w:szCs w:val="20"/>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our platform effectively and efficiently;</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useful, innovative, and reliable platform;</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high satisfaction among learners, instructors, and UB customers;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high quality and perceived value for our platform;</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differentiate our platform from competing offerings;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consistently high level of customer service;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prevent any actual or perceived data breach or data loss, or misuse or perceived misuse of our platform.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our reputation and brand recognition may be affected by factors that are beyond our control, such as:</w:t>
      </w:r>
    </w:p>
    <w:p>
      <w:pPr>
        <w:spacing w:after="0" w:line="117" w:lineRule="exact"/>
        <w:rPr>
          <w:sz w:val="20"/>
          <w:szCs w:val="20"/>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actions of competitors or other third parties;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quality and quantity of, as well as the nature and subject matter of, content available from instructors on our platform;</w:t>
      </w:r>
    </w:p>
    <w:p>
      <w:pPr>
        <w:spacing w:after="0" w:line="117" w:lineRule="exact"/>
        <w:rPr>
          <w:rFonts w:ascii="Arial" w:cs="Arial" w:eastAsia="Arial" w:hAnsi="Arial"/>
          <w:sz w:val="18"/>
          <w:szCs w:val="18"/>
          <w:color w:val="auto"/>
        </w:rPr>
      </w:pPr>
    </w:p>
    <w:p>
      <w:pPr>
        <w:ind w:left="980" w:right="360" w:hanging="432"/>
        <w:spacing w:after="0" w:line="24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instructors, or our commercial partners;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or legal developments.</w:t>
      </w:r>
    </w:p>
    <w:p>
      <w:pPr>
        <w:spacing w:after="0" w:line="212"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courses posted to our platform.</w:t>
      </w:r>
    </w:p>
    <w:p>
      <w:pPr>
        <w:spacing w:after="0" w:line="234"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laws governing the fair use of these third-party materials are imprecise and adjudicated on a case-by-case basis, which makes it challenging to adopt and implement appropriately balanced institutional policies governing these practices. As a result, we are subject to potential liability to third parties for the unauthorized duplication, distribution, or other use of this material. In addition, third parties have alleged, and in the future may allege, misappropriation, plagiarism, or similar claims related to content appearing on our platform. Any such claims, including claims of defamation, disparagement, negligence, warranty, misappropriation, or personal harm, could subject us to costly litigation and impose a significant strain on our financial resources and management personnel, regardless of whether the claims have merit. Moreover, there can be no assurance that measures taken under our terms and policies in response to complaints by third-party content owners regarding intellectual property violations, such as taking down courses subject to a valid complaint or banning instructors who violate our repeat infringer policy, will be sufficient to protect us from claims of intellectual property infringement.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w:t>
      </w:r>
    </w:p>
    <w:p>
      <w:pPr>
        <w:spacing w:after="0" w:line="204"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While we rely on a variety of statutory and common law frameworks and defenses, including those provided by the Digital Millennium Copyright Act of 1998, or the DMCA, the Communications Decency Act, or the CDA, the fair-use doctrine in the United States and the E-Commerce Directive in the European Union, or the E.U., differences between statutes, limitations on immunity, requirements to maintain immunity, and moderation efforts in the many jurisdictions in which we operate may affect our ability to rely on these frameworks and defenses, or create uncertainty regarding liability for content posted to our platform. As an example, Article 17 of the Directive on Copyright in the Digital Single Market was passed in the E.U., which affords copyright owners some enforcement rights that may conflict with U.S. safe harbor protections afforded to us under the DMCA. Member states in the E.U. are in the process of determining how Article 17 will be implemented in their particular country. In addition, the E.U. is also reportedly reviewing the regulation of digital services, and it has been reported that the E.U. plans to introduce the Digital Services Act, a package of legislation intended to update the liability and safety rules for digital platforms, products, and services, which could negatively impact the scope of the limited immunity provided to us by the E-Commerce Directive. In countries in Asia and Latin America, generally there are not similar statutes to the CDA</w:t>
      </w:r>
    </w:p>
    <w:p>
      <w:pPr>
        <w:spacing w:after="0" w:line="8"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color w:val="auto"/>
        </w:rPr>
        <w:t>or E-Commerce Directive. The laws of countries in Asia and Latin America generally provide for direct liability if a platform is involved in creating such content or has actual knowledge of the content without taking action to take it down. Further, laws in some Asian countries also provide for primary or secondary liability, which can include criminal liability, if a platform failed to take sufficient steps to prevent such content from being uploaded. Although these and other similar legal provisions provide limited protections from liability for platforms like ours, if we are found not to be protected by the safe harbor provisions of the DMCA, CDA, or other similar laws, or if we are deemed subject to laws in other countries that may not have the same protections or that may impose more onerous obligations on us, including Article 17 or other proactive obligations to filter or review content for potential infringement of intellectual property, we may owe substantial damages and our brand, reputation, and financial results may be harmed. Moreover, regulators in the United States and in other countries in which we operate may introduce new regulatory regimes that increase potential liability for information or content available on or through our platform, or which impose additional obligations to monitor such information or content, which could increase our costs.</w:t>
      </w:r>
    </w:p>
    <w:p>
      <w:pPr>
        <w:spacing w:after="0" w:line="175"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Failure of our resellers or other commercial partners to use acceptable ethical business practices or comply with applicable laws could negatively impact our business.</w:t>
      </w:r>
    </w:p>
    <w:p>
      <w:pPr>
        <w:spacing w:after="0" w:line="176" w:lineRule="exact"/>
        <w:rPr>
          <w:sz w:val="20"/>
          <w:szCs w:val="20"/>
          <w:color w:val="auto"/>
        </w:rPr>
      </w:pPr>
    </w:p>
    <w:p>
      <w:pPr>
        <w:ind w:left="120" w:right="400"/>
        <w:spacing w:after="0" w:line="237" w:lineRule="auto"/>
        <w:rPr>
          <w:sz w:val="20"/>
          <w:szCs w:val="20"/>
          <w:color w:val="auto"/>
        </w:rPr>
      </w:pPr>
      <w:r>
        <w:rPr>
          <w:rFonts w:ascii="Arial" w:cs="Arial" w:eastAsia="Arial" w:hAnsi="Arial"/>
          <w:sz w:val="18"/>
          <w:szCs w:val="18"/>
          <w:color w:val="auto"/>
        </w:rPr>
        <w:t>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 results of operations, and financial condition could be negatively affected by general economic conditions.</w:t>
      </w:r>
    </w:p>
    <w:p>
      <w:pPr>
        <w:spacing w:after="0" w:line="234" w:lineRule="exact"/>
        <w:rPr>
          <w:sz w:val="20"/>
          <w:szCs w:val="20"/>
          <w:color w:val="auto"/>
        </w:rPr>
      </w:pPr>
    </w:p>
    <w:p>
      <w:pPr>
        <w:ind w:left="120" w:right="400"/>
        <w:spacing w:after="0" w:line="237" w:lineRule="auto"/>
        <w:rPr>
          <w:sz w:val="20"/>
          <w:szCs w:val="20"/>
          <w:color w:val="auto"/>
        </w:rPr>
      </w:pPr>
      <w:r>
        <w:rPr>
          <w:rFonts w:ascii="Arial" w:cs="Arial" w:eastAsia="Arial" w:hAnsi="Arial"/>
          <w:sz w:val="18"/>
          <w:szCs w:val="18"/>
          <w:color w:val="auto"/>
        </w:rPr>
        <w:t>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conditions could significantly reduce the overall amount that learners and organizations spend on, and the frequency of, online learning. Any or all of these factors could reduce the demand for our services, reducing our revenues. In addition, the occurrence of any of these events could increase our need to make significant expenditures to continue to attract learners and UB customers to our platform.</w:t>
      </w:r>
    </w:p>
    <w:p>
      <w:pPr>
        <w:spacing w:after="0" w:line="18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Our business and operations could be materially and adversely affected by natural disasters, public health crises, political crises, or other catastrophic events.</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business and operations could be materially and adversely affected in the event of earthquakes, floods, fires, telecommunications failures, blackouts, or other power losses, break-ins, acts of terrorism, political crises, inclement weather, public health crises, pandemics or endemics, or other catastrophic events.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floods, fire, inclement weather including extreme rain, wind, heat, or cold, or accidents due to human error were to occur and cause damage to our properties, or if our operations were interrupted by telecommunications failures, blackouts, acts of terrorism, political or geopolitical crises, or public health crises, our results of operations would suffer, especially if such events were to occur during peak periods. We may not be able to effectively shift our operations due to disruptions arising from the occurrence of such events, and our business could be affected adversely as a result.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234" w:lineRule="exact"/>
        <w:rPr>
          <w:sz w:val="20"/>
          <w:szCs w:val="20"/>
          <w:color w:val="auto"/>
        </w:rPr>
      </w:pPr>
    </w:p>
    <w:p>
      <w:pPr>
        <w:jc w:val="both"/>
        <w:ind w:left="120" w:right="200"/>
        <w:spacing w:after="0" w:line="248" w:lineRule="auto"/>
        <w:rPr>
          <w:sz w:val="20"/>
          <w:szCs w:val="20"/>
          <w:color w:val="auto"/>
        </w:rPr>
      </w:pPr>
      <w:r>
        <w:rPr>
          <w:rFonts w:ascii="Arial" w:cs="Arial" w:eastAsia="Arial" w:hAnsi="Arial"/>
          <w:sz w:val="17"/>
          <w:szCs w:val="17"/>
          <w:color w:val="auto"/>
        </w:rPr>
        <w:t>The rapid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Any problems with the transmission of increased data and requests could result in harm to our brand or reputation. Moreover, as our business grows, we will need to devote additional resources to improving our operational infrastructure and continuing to enhance our scalability in order to maintain the performance of our platform. Our growth has placed, and will likely continue to place, a significant strain on our managerial, administrative, operational, financial, and other resources. We have grown from 230 full-time employees in May 2016 to 1,013 full-time employees in June 2021. We intend to further expand our overall business, including headcount, with no assurance that our revenues will continue to grow. As we grow,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w:t>
      </w:r>
    </w:p>
    <w:p>
      <w:pPr>
        <w:spacing w:after="0" w:line="186"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Our future success depends on our ability to retain our senior management team and other highly skilled employees and to attract, retain, and motivate our qualified personnel.</w:t>
      </w:r>
    </w:p>
    <w:p>
      <w:pPr>
        <w:spacing w:after="0" w:line="17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rPr>
          <w:sz w:val="20"/>
          <w:szCs w:val="20"/>
          <w:color w:val="auto"/>
        </w:rPr>
      </w:pPr>
      <w:r>
        <w:rPr>
          <w:rFonts w:ascii="Arial" w:cs="Arial" w:eastAsia="Arial" w:hAnsi="Arial"/>
          <w:sz w:val="18"/>
          <w:szCs w:val="18"/>
          <w:color w:val="auto"/>
        </w:rPr>
        <w:t>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w:t>
      </w:r>
    </w:p>
    <w:p>
      <w:pPr>
        <w:spacing w:after="0" w:line="20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To execute our growth plan, we must hire many employees over the next few years. In addition, we must retain our highly qualified employees. Competition for highly qualified employees is intense, particularly from other high- growth technology companies and in the San Francisco, California labor market, where our corporate headquarters are located.</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Additionally, changes in our compensation structure may be negatively received by employees and result in attrition or cause difficulty in the recruiting process. If we fail to attract new employees or fail to retain and motivate our current employees, our business and future growth prospects could be adversely affected.</w:t>
      </w:r>
    </w:p>
    <w:p>
      <w:pPr>
        <w:spacing w:after="0" w:line="180"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Any failure to successfully execute and integrate future acquisitions could materially adversely affect our business, financial condition, and results of operations.</w:t>
      </w:r>
    </w:p>
    <w:p>
      <w:pPr>
        <w:spacing w:after="0" w:line="17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We have in the past acquired, and may in the future pursue acquisitions of, businesses, technologies, services and other assets and strategic investments that complement our business. For example, in August 2021, we announced our acquisition of CUX (d/b/a CorpU), or CorpU, an online leadership development platform. We have limited experience as an organization with successfully executing and integrating acquisitions. Acquisitions involve numerous risks, including the following:</w:t>
      </w:r>
    </w:p>
    <w:p>
      <w:pPr>
        <w:spacing w:after="0" w:line="110" w:lineRule="exact"/>
        <w:rPr>
          <w:sz w:val="20"/>
          <w:szCs w:val="20"/>
          <w:color w:val="auto"/>
        </w:rPr>
      </w:pPr>
    </w:p>
    <w:p>
      <w:pPr>
        <w:ind w:left="980" w:right="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integrating and managing the combined operations, technology platforms, or offerings of any company we acquire and realizing the anticipated economic, operational and other benefits of the acquisition in a timely manner, which could result in substantial costs and delays, and failure to execute on the intended strategy and synergies;</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the acquired businesses to achieve anticipated revenue, earnings, or cash flow;</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maintain the key customers, business relationships, suppliers, and brand potential of acquired businesses;</w:t>
      </w:r>
    </w:p>
    <w:p>
      <w:pPr>
        <w:spacing w:after="0" w:line="117" w:lineRule="exact"/>
        <w:rPr>
          <w:rFonts w:ascii="Arial" w:cs="Arial" w:eastAsia="Arial" w:hAnsi="Arial"/>
          <w:sz w:val="18"/>
          <w:szCs w:val="18"/>
          <w:color w:val="auto"/>
        </w:rPr>
      </w:pPr>
    </w:p>
    <w:p>
      <w:pPr>
        <w:ind w:left="980" w:right="400" w:hanging="432"/>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of entry into businesses or geographies in which we have limited or no prior experience or in which competitors have stronger positions;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costs associated with pursuing acquisitions or greater than expected costs in integrating the acquired businesses;</w:t>
      </w:r>
    </w:p>
    <w:p>
      <w:pPr>
        <w:spacing w:after="0" w:line="117" w:lineRule="exact"/>
        <w:rPr>
          <w:rFonts w:ascii="Arial" w:cs="Arial" w:eastAsia="Arial" w:hAnsi="Arial"/>
          <w:sz w:val="18"/>
          <w:szCs w:val="18"/>
          <w:color w:val="auto"/>
        </w:rPr>
      </w:pPr>
    </w:p>
    <w:p>
      <w:pPr>
        <w:ind w:left="980" w:right="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w:t>
      </w:r>
    </w:p>
    <w:p>
      <w:pPr>
        <w:spacing w:after="0" w:line="108" w:lineRule="exact"/>
        <w:rPr>
          <w:rFonts w:ascii="Arial" w:cs="Arial" w:eastAsia="Arial" w:hAnsi="Arial"/>
          <w:sz w:val="18"/>
          <w:szCs w:val="18"/>
          <w:color w:val="auto"/>
        </w:rPr>
      </w:pPr>
    </w:p>
    <w:p>
      <w:pPr>
        <w:ind w:left="980" w:right="380" w:hanging="432"/>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or costs associated with assigning or transferring to us or our subsidiaries the acquired companies’ intellectual property or its licenses to third-party intellectual property;</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maintain our culture and values, ethical standards, controls, procedures, and policies;</w:t>
      </w:r>
    </w:p>
    <w:p>
      <w:pPr>
        <w:spacing w:after="0" w:line="117" w:lineRule="exact"/>
        <w:rPr>
          <w:rFonts w:ascii="Arial" w:cs="Arial" w:eastAsia="Arial" w:hAnsi="Arial"/>
          <w:sz w:val="18"/>
          <w:szCs w:val="18"/>
          <w:color w:val="auto"/>
        </w:rPr>
      </w:pPr>
    </w:p>
    <w:p>
      <w:pPr>
        <w:ind w:left="980" w:right="780" w:hanging="432"/>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integrating the workforce of acquired companies and the potential loss of key employees of the acquired companies;</w:t>
      </w:r>
    </w:p>
    <w:p>
      <w:pPr>
        <w:spacing w:after="0" w:line="253"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40" w:hanging="432"/>
        <w:spacing w:after="0" w:line="274"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challenges in integrating and auditing the financial statements of acquired companies that have not historically prepared financial statements in accordance with generally accepted accounting principles in the United States, or GAAP; and</w:t>
      </w:r>
    </w:p>
    <w:p>
      <w:pPr>
        <w:spacing w:after="0" w:line="80" w:lineRule="exact"/>
        <w:rPr>
          <w:rFonts w:ascii="Arial" w:cs="Arial" w:eastAsia="Arial" w:hAnsi="Arial"/>
          <w:sz w:val="17"/>
          <w:szCs w:val="17"/>
          <w:color w:val="auto"/>
        </w:rPr>
      </w:pPr>
    </w:p>
    <w:p>
      <w:pPr>
        <w:ind w:left="980" w:right="280" w:hanging="432"/>
        <w:spacing w:after="0" w:line="274"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accounting charges to the extent goodwill and intangible assets recorded in connection with an acquisition, such as trademarks, customer relationships, or intellectual property, are later determined to be impaired and written down in value.</w:t>
      </w:r>
    </w:p>
    <w:p>
      <w:pPr>
        <w:spacing w:after="0" w:line="175"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We may not succeed in addressing these or other risks in connection with our acquisition of CorpU or any other acquisitions we undertake in the future. The inability to integrate successfully, or in a timely fashion, the business, technologies, products, personnel, or operations of any acquired business, could have a material adverse effect on our business, financial condition, and results of operations.</w:t>
      </w:r>
    </w:p>
    <w:p>
      <w:pPr>
        <w:spacing w:after="0" w:line="181"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We may need to raise additional funds to pursue our growth strategy or continue operations, and we may be unable to raise capital when needed or on acceptable terms.</w:t>
      </w:r>
    </w:p>
    <w:p>
      <w:pPr>
        <w:spacing w:after="0" w:line="17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 If financing is not available on satisfactory terms, or at all, we may be unable to expand its business at the rate desired and our results of operations may suffer.</w:t>
      </w:r>
    </w:p>
    <w:p>
      <w:pPr>
        <w:spacing w:after="0" w:line="18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operate internationally and we plan to continue expanding our international operations, which exposes us to risks inherent in international operations.</w:t>
      </w:r>
    </w:p>
    <w:p>
      <w:pPr>
        <w:spacing w:after="0" w:line="176"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Managing a global organization requires significant resources and management attention. We currently maintain offices outside of the United States in Turkey and Ireland, and we plan to expand our international operations in the future.</w:t>
      </w:r>
    </w:p>
    <w:p>
      <w:pPr>
        <w:spacing w:after="0" w:line="19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We generated 59% and 61% of our revenue outside North America in 2019 and 2020, respectively, and 60% and 61% during the six months ended June 30, 2020 and 2021, respectively, and, based on our instructor registration records, we estimate that a majority of our instructors are located outside the United States. Any further international expansion efforts that we may undertake may not be as successful as we expect or at all.</w:t>
      </w:r>
    </w:p>
    <w:p>
      <w:pPr>
        <w:spacing w:after="0" w:line="205"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Additionally, conducting international operations subjects us to risks that we have not generally faced in the United States. These risks include:</w:t>
      </w:r>
    </w:p>
    <w:p>
      <w:pPr>
        <w:spacing w:after="0" w:line="102" w:lineRule="exact"/>
        <w:rPr>
          <w:sz w:val="20"/>
          <w:szCs w:val="20"/>
          <w:color w:val="auto"/>
        </w:rPr>
      </w:pPr>
    </w:p>
    <w:p>
      <w:pPr>
        <w:ind w:left="980" w:right="240" w:hanging="432"/>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resources required to localize our services, which requires the translation of our websites into foreign languages and adaptation for local practices and regulatory requirements;</w:t>
      </w:r>
    </w:p>
    <w:p>
      <w:pPr>
        <w:spacing w:after="0" w:line="102" w:lineRule="exact"/>
        <w:rPr>
          <w:rFonts w:ascii="Arial" w:cs="Arial" w:eastAsia="Arial" w:hAnsi="Arial"/>
          <w:sz w:val="18"/>
          <w:szCs w:val="18"/>
          <w:color w:val="auto"/>
        </w:rPr>
      </w:pPr>
    </w:p>
    <w:p>
      <w:pPr>
        <w:ind w:left="980" w:right="780" w:hanging="432"/>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with local market participants who understand the local market better than we do or who have pre-existing relationships with our potential learners and UB customers in those markets;</w:t>
      </w:r>
    </w:p>
    <w:p>
      <w:pPr>
        <w:spacing w:after="0" w:line="102" w:lineRule="exact"/>
        <w:rPr>
          <w:rFonts w:ascii="Arial" w:cs="Arial" w:eastAsia="Arial" w:hAnsi="Arial"/>
          <w:sz w:val="18"/>
          <w:szCs w:val="18"/>
          <w:color w:val="auto"/>
        </w:rPr>
      </w:pPr>
    </w:p>
    <w:p>
      <w:pPr>
        <w:ind w:left="980" w:right="400" w:hanging="432"/>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uncertainty regarding our liability for the content and services provided by our instructors, including as a result of local laws or a lack of clear precedent of applicable law;</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adapting to variations in payment forms from learners and UB customers;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hanging="432"/>
        <w:spacing w:after="0" w:line="24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102" w:lineRule="exact"/>
        <w:rPr>
          <w:rFonts w:ascii="Arial" w:cs="Arial" w:eastAsia="Arial" w:hAnsi="Arial"/>
          <w:sz w:val="18"/>
          <w:szCs w:val="18"/>
          <w:color w:val="auto"/>
        </w:rPr>
      </w:pPr>
    </w:p>
    <w:p>
      <w:pPr>
        <w:ind w:left="980" w:right="740" w:hanging="432"/>
        <w:spacing w:after="0" w:line="24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 and difficulties in implementing and maintaining adequate internal controls;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telecommunications and internet service provider costs.</w:t>
      </w:r>
    </w:p>
    <w:p>
      <w:pPr>
        <w:spacing w:after="0" w:line="21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20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strategic and other relationships with partners overseas may also subject us to additional regulatory scrutiny in the United States and other jurisdictions. For example, the Committee on Foreign Investment in the U.S. has continued to apply a more stringent review of certain foreign investment in U.S. companies, and has made inquiries to us with respect to equity investments in us by foreign investors.</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Further, as we continue to expand internationally, we could also become subject to increased difficulties in collecting accounts receivable, repatriating money without adverse tax consequences, and risks relating to foreign currency exchange rate fluctuations. 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w:t>
      </w:r>
    </w:p>
    <w:p>
      <w:pPr>
        <w:spacing w:after="0" w:line="180"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We are subject to laws and regulations worldwide, and failure to comply with such laws and regulations could subject us to claims or otherwise adversely affect our business, financial condition, and results of operations.</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We are subject to a variety of laws in the U.S. and abroad that affect our business. As a global platform with learners and instructors in over 180 countries, we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tax, export and national security, tariffs, anti-corruption and telecommunications, all of which are continuously evolving and developing.</w:t>
      </w:r>
    </w:p>
    <w:p>
      <w:pPr>
        <w:spacing w:after="0" w:line="2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significant diversion of management’s attention and resources and an increase in professional fees. Enforcement actions and sanctions could harm our business, operating results, and financial condition.</w:t>
      </w:r>
    </w:p>
    <w:p>
      <w:pPr>
        <w:spacing w:after="0" w:line="175"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regulations that could impair our ability to compete in international markets and subject us to liability if we are not in full compliance with applicable laws.</w:t>
      </w:r>
    </w:p>
    <w:p>
      <w:pPr>
        <w:spacing w:after="0" w:line="17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business activities are subject to various restrictions under U.S. export and similar laws and regulations, including trade and economic sanctions regulations administered by the U.S. Treasury Department’s Office of Foreign Assets Control and, in some cases, the U.S. Department of Commerce’s Export Administration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w:t>
      </w:r>
    </w:p>
    <w:p>
      <w:pPr>
        <w:spacing w:after="0" w:line="2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Although we take precautions to prevent our platform from being provided in violation of such laws, our platform could be provided inadvertently in violation of such laws, despite the precautions we take.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including the possible loss of export privileges and fines.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w:t>
      </w:r>
    </w:p>
    <w:p>
      <w:pPr>
        <w:spacing w:after="0" w:line="182"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Failure to comply with anti-bribery, anti-corruption, and anti-money laundering laws, and similar laws, could subject us to penalties and other adverse consequences.</w:t>
      </w:r>
    </w:p>
    <w:p>
      <w:pPr>
        <w:spacing w:after="0" w:line="176"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are subject to the U.S. Foreign Corrupt Practices Act of 1977, as amended, the FCPA, the U.S. domestic bribery statute contained in 18 U.S.C. § 201, the U.S. Travel Act, and possibly other anti-bribery laws and anti-money laundering laws in countries outside of the United States in which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205"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 As we increase our international sales and business, our risks under these laws may increase.</w:t>
      </w:r>
    </w:p>
    <w:p>
      <w:pPr>
        <w:spacing w:after="0" w:line="205"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40"/>
        <w:spacing w:after="0" w:line="274" w:lineRule="auto"/>
        <w:rPr>
          <w:sz w:val="20"/>
          <w:szCs w:val="20"/>
          <w:color w:val="auto"/>
        </w:rPr>
      </w:pPr>
      <w:r>
        <w:rPr>
          <w:rFonts w:ascii="Arial" w:cs="Arial" w:eastAsia="Arial" w:hAnsi="Arial"/>
          <w:sz w:val="17"/>
          <w:szCs w:val="17"/>
          <w:color w:val="auto"/>
        </w:rPr>
        <w:t>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7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Any allegations or violation of the FCPA or other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w:t>
      </w:r>
    </w:p>
    <w:p>
      <w:pPr>
        <w:spacing w:after="0" w:line="18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We are from time to time involved in claims, lawsuits, government investigations, and other proceedings that could adversely affect our business, financial condition, and results of operations.</w:t>
      </w:r>
    </w:p>
    <w:p>
      <w:pPr>
        <w:spacing w:after="0" w:line="17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spacing w:after="0" w:line="18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96"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or ESG, practices and reporting. Investors, customers, employees, and other stakeholders have focused increasingly on ESG practices and placed increasing importance on the implications and social cost of their investments, purchases, and other interactions with companies. For 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reputation, and learner and UB customer retention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that stakeholders may not be satisfied with our ESG reporting, our ESG practices or our speed of adoption. We could also incur additional costs and devote additional resources to monitor, report and implement various ESG practices. If we fail, or are perceived to be failing, to meet the standards included in any sustainability disclosure or the expectations of our various stakeholders, it could negatively impact our reputation, UB customer and learner acquisition and retention, access to capital, and employee retention.</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technology, privacy, and cybersecurity</w:t>
      </w:r>
    </w:p>
    <w:p>
      <w:pPr>
        <w:spacing w:after="0" w:line="21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19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receive, transmit, and store personally identifiable information and other data relating to our learners, instructors, and other individuals, such as our employees. Numerous local, municipal, state, federal, and international laws and regulations address privacy, data protection, cybersecurity, and the collection, storing, sharing, use, disclosure, and protection of certain types of data, including the California Online Privacy Protection Act, the Personal Information Protection and Electronic Documents Act, the Controlling the Assault of Non-Solicited Pornography and Marketing Act, Canada’s Anti-Spam Legislation, the E.U. General Data Protection Regulation, or GDPR, the Telephone Consumer Protection Act (restricting telemarketing and the use of automated SMS text messaging), Section 5 of the Federal Trade Commission Act, and the California Consumer Privacy Act, or the CCPA. These laws, rules, and regulations evolve frequently and their scope may continually change, through new legislation, amendments to existing legislation, and changes in enforcement, and may be inconsistent from one jurisdiction to another.</w:t>
      </w:r>
    </w:p>
    <w:p>
      <w:pPr>
        <w:spacing w:after="0" w:line="20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For example, the GDPR, which became effective on May 25, 2018, has resulted and will continue to result in significantly greater compliance burdens and costs for companies like ours. The GDPR regulates our collection, control, processing, sharing, disclosure, and other use of data that can directly or indirectly identify a living individual that is a resident of the E.U. and imposes stringent data protection requirements with significant penalties and the risk of civil litigation, for noncompliance. Failure to comply with the GDPR may result in fines of up to 20 million euros or up to 4% of the annual global revenue of the infringer, whichever is greater. It may also lead to civil litigation, with the risks of damages, injunctive relief, or regulatory orders adversely impacting the ways in which our business can use personal data.</w:t>
      </w:r>
    </w:p>
    <w:p>
      <w:pPr>
        <w:spacing w:after="0" w:line="20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in January 2021, the United Kingdom transposed the GDPR into domestic law with a United Kingdom version of the GDPR (combining the GDPR and the United Kingdom Data Protection Act of 2018), referred to as the U.K. GDPR, which provides for fines of up 17.5 million British pounds sterling or 4% of global turnover, whichever is greater. The relationship between the United Kingdom and the E.U. in relation to certain aspects of data protection law remains unclear. An example is the regulation of data transfers between E.U. member states and the United Kingdom and the role of the United Kingdom’s Information Commissioner’s Office with respect to the E.U. On June 28, 2021, the European Commission announced a decision of “adequacy” concluding that the United Kingdom ensures an equivalent level of data protection to the GDPR, which provides some relief regarding the legality of continued personal data flows from the European Economic Area, or EEA, to the United Kingdom Some uncertainty remains, however, as this adequacy determination must be renewed after four years and may be modified or revoked in the interim. We cannot fully predict how the Data Protection Act, the U.K. GDPR, and other United Kingdom data protection laws or regulations may develop in the medium to longer term nor the effects of divergent laws and guidance regarding how data transfers to and from the United Kingdom will be regulated. Changes with respect to any of these matters may lead to additional costs and increase our overall risk exposure.</w:t>
      </w:r>
    </w:p>
    <w:p>
      <w:pPr>
        <w:spacing w:after="0" w:line="20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Additionally, we are or may become subject to laws, rules, and regulations regarding cross-border transfers of personal data, including those relating to transfer of personal data outside the European Economic Area, or the EEA. Recent legal developments have created complexity and uncertainty regarding transfers of personal data from the EEA to the U.S. and other jurisdictions. For example, on July 16, 2020, the Court of Justice of the European Union, or CJEU, invalidated the E.U.-U.S. Privacy Shield Framework, or the Privacy Shield, under which personal data could be transferred from the EEA to U.S. entities that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noted that reliance on them may not necessarily be sufficient in all circumstances. In addition to other mechanisms (particularly standard contractual clauses), in limited circumstances we may rely on Privacy</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Shield certifications of third parties (for example, vendors and partners). The European Commission released a draft of revised standard contractual clauses, or SCCs, addressing the CJEU concerns in November 2020, and on June 4, 2021, published new SCCs.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which may increase compliance costs, lead to increased regulatory scrutiny or liability, may require additional contractual negotiations, and may adversely impact our business, financial condition, and operating results.</w:t>
      </w:r>
    </w:p>
    <w:p>
      <w:pPr>
        <w:spacing w:after="0" w:line="203"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The CCPA, which went into effect on January 1, 2020, among other things, requires covered companies to provide new disclosures to California consumers and affords such consumers the ability to opt out of certain types of data sharing and sales of their personal information. The CCPA also prohibits covered businesses from discriminating against consumers (for example, charging more for services) for exercising their rights. The CCPA provides for civil penalties for violations, as well as a private right of action for data breaches that is expected to increase data breach litigation. Additionally, in November 2020, California voters passed the California Privacy Rights and Enforcement Act of 2020, or the CPRA. The CPRA further expands the CCPA with additional data privacy compliance requirements that may impact our business and establishes a regulatory agency dedicated to enforcing those requirements. Aspects of the interpretation and enforcement of the CCPA and CPRA remain uncertain. The enactment of the CCPA has prompted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or CDPA, a comprehensive privacy statute that becomes effective on January 1, 2023 (at the same time as the CPRA) and shares similarities with the CCPA, the CPRA, and legislation proposed in other states, and in June 2021, Colorado enacted a similar law, the Colorado Privacy Act, or CPA, that becomes effective on July 1, 2023. The effects of these state statutes and other similar state or federal laws are significant and may require us to modify our data processing practices and policies and incur substantial compliance-related costs and expenses. Additionally, many laws and regulations relating to privacy and the collection, storing, sharing, use, disclosure, and protection of certain types of data are subject to varying degrees of enforcement and new and changing interpretations by courts. These laws and other changes in laws or regulations relating to privacy, data protection, and cybersecurity,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the cost of providing our platform, require significant changes to our operations, or even prevent us from providing our platform in jurisdictions in which we currently operate and in which we may operate in the future.</w:t>
      </w:r>
    </w:p>
    <w:p>
      <w:pPr>
        <w:spacing w:after="0" w:line="21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Additionally, we have incurred, and may continue to incur, significant expenses in an effort to comply with privacy, data protection, and cybersecurity standards and protocols imposed by law, regulation, industry standards, or contractual obligations. Publication of our privacy statement and other policies regarding privacy, data protection, and cybersecurity may subject us to investigation or enforcement actions by regulators if those statements or policies are found to be deficient, lacking transparency, deceptive, unfair, or misrepresentative of our practices. We are also bound by contractual obligations related to privacy, data protection, and cybersecurity and our efforts to comply with such obligations may not be successful or may have other negative consequences. The various privacy, data protection, and cybersecurity legal obligations that apply to us may evolve in a manner that relates to our practices or the features of our mobile apps or website and we may need to take additional measures to comply with the new and evolving legal obligations, including but not limited to training efforts for our employees, contractors and third party partners. Such efforts may not be successful or may have other negative consequences. In particular, with laws and regulations such as the CCPA, CPRA, CDPA, and CPA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so. Despite our efforts to comply with applicable laws, regulations, and other obligations relating to privacy, data protection and cybersecurity, it is possible that our interpretations of the law, practices, policies, or platform or other services or offerings could be inconsistent with, or fail or be alleged to fail to meet all requirements of, such laws, regulations, or obligations. Any failure, or consequences associated with our efforts to comply with applicable laws or regulations or any other obligations relating to privacy, data protection, or cybersecurity, or any compromise of security that results in unauthorized access to, or use or release of data relating to learners, instructors, or other individuals, or the perception that any of the foregoing types of failure or compromise has occurred, could damage our reputation, discourage new and existing learners, instructors, and UB customers from using our platform, or result in fines, investigations, or proceedings by governmental agencies and private claims and litigation, any of which could adversely affect our business, financial condition, and operating results. Even if not subject to legal challenge, the perception of concerns relating to privacy, data protection, or cybersecurity, whether or not valid, may harm our reputation and brand adversely affect our business, financial condition, and operating results.</w:t>
      </w:r>
    </w:p>
    <w:p>
      <w:pPr>
        <w:spacing w:after="0" w:line="18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A cybersecurity attack or other security breach or incident could delay or interrupt service to our learners, instructors, and UB customers, harm our reputation or subject us to significant liability.</w:t>
      </w:r>
    </w:p>
    <w:p>
      <w:pPr>
        <w:spacing w:after="0" w:line="17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platform involves the processing of significant amounts of data relating to the learners, instructors, and UB customers interacting with our platform, including personal data and personal information. Additionally, we collect and store certain sensitive and proprietary information, and personal data and personal information, in the operation of our business, including trade secrets, intellectual property, employee data, and other confidential data.</w:t>
      </w:r>
    </w:p>
    <w:p>
      <w:pPr>
        <w:spacing w:after="0" w:line="20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engage third-party service providers to store and otherwise process certain data, including sensitive and personal information. Our service providers have been, and in the future may be, the targets of cyberattacks, malicious software, phishing schemes, fraud, and other risks to the confidentiality, security, and integrity of their systems and the data they process for us. Our ability to monitor our service providers’ cybersecurity is limited, and, in any event, third parties may be able to circumvent those security measures, resulting in the unauthorized access to, misuse, disclosure, loss, or destruction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20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While we have taken measures to protect our own proprietary and confidential information, as well as the personal information, personal data, and confidential information that we otherwise obtain, and measures to protect our platform, we, the networks and systems used in our business, including those of third-party service providers, we and our third-party service providers have experienced, and we, our service providers and our platform may in the future experience, cybersecurity attacks or other security breaches or incidents. Cybersecurity attacks may take the form of denial of service attacks, attacks using ransomware or other malware or other attacks, and can come from individual hackers, criminal groups, and state-sponsored organizations. These sources can also implement social engineering techniques to induce our employees, contractors, or customers to disclose passwords or other sensitive information or take other actions to gain access to data, and we and our platform otherwise may be subject to security breaches and incidents resulting from employee or contractor error or malfeasance. We may be more susceptible to cyberattacks and other security breaches and other security incidents while social distancing measures restricting the ability of our employees to work at our offices are in place to combat the COVID-19 pandemic because we have less capability to implement, monitor, and enforce our information security and data protection policies.</w:t>
      </w:r>
    </w:p>
    <w:p>
      <w:pPr>
        <w:spacing w:after="0" w:line="205"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More generally, we cannot guarantee that applicable recovery systems, security protocols, network protection mechanisms, and other procedures of ourselves of our third-party service providers are or will be adequate to prevent network and service interruption, system failure or loss, corruption, or unauthorized access to, or disclosure or acquisition of, data, including personal data, personal information, and other sensitive information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that we or they process or maintain. Moreover, our platform could be breached or disrupted if vulnerabilities in our platform are exploited by unauthorized third parties. Since techniques used to obtain unauthorized access change frequently and the size of cybersecurity attacks and of security breaches and incidents are increasing, we and our third-party service providers may be unable to implement adequate preventative measures or stop the attacks while they are occurring. A cybersecurity attack or security breach or incident could delay or interrupt service to our learners, instructors, or organizations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 to alleviate problems caused by the cybersecurity attack or security breach or incident. We incur significant costs in an effort to detect and prevent security breaches and other security-related incidents,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Such mandatory disclosures could lead to negative publicity and any such disclosures, or any belief that a cybersecurity attack, or a security breach or incident, has impacted us, our platform, or our service providers may cause our learners, instructors, or UB customers to lose confidence in the security of our platform and the effectiveness of the cybersecurity measures we and our service providers utilize.</w:t>
      </w:r>
    </w:p>
    <w:p>
      <w:pPr>
        <w:spacing w:after="0" w:line="21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if we experienced a cybersecurity attack or other security breach or other incident, we could be subject to claims or damages that exceed our insurance coverage. If such an attack or other breach or incident occurred, our insurance coverage might not be adequate for liabilities actually incurred,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could adversely affect our business and results of operations.</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continued growth partially depends on the ability of learners and instructors to access our platform at any time. Our platform has encountered, and may in the future encounter, disruptions, outages, 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depends significantly on continued access to the internet and mobile networks.</w:t>
      </w:r>
    </w:p>
    <w:p>
      <w:pPr>
        <w:spacing w:after="0" w:line="23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Our learners and instructors rely on access to the internet and mobile networks to access our platform. Internet service providers may choose to disrupt or degrade our access to our platform or increase the cost of such access. Internet service providers or mobile network operators could also attempt to charge us for providing access to our platform. In 2015, rules approved by the Federal Communications Commission, or FCC, went into</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effect that prohibited internet service providers from charging content providers higher rates in order to deliver their content over certain “fast traffic” lanes; however, those rules were repealed in June 2018, and efforts to challenge the repeal in the courts have failed to reverse the FCC’s 2018 decision, and in October 2019, the U.S. Court of Appeals for the District of Columbia Circuit issued a mixed ruling that did not reverse the FCC’s 2015 decision in its entirety. Although this recent court ruling allows states to enact their own net neutrality rules, the repeal of federal protections may make it more difficult or costly for many buyers or instructors to access our platform and may result in increased costs for us, which could significantly harm our business. Outside the United States,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w:t>
      </w:r>
    </w:p>
    <w:p>
      <w:pPr>
        <w:spacing w:after="0" w:line="18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rely on Amazon Web Services for a substantial portion of our platform services. Any disruption of, or interference with, our use of Amazon Web Services could negatively impact our business and operations.</w:t>
      </w:r>
    </w:p>
    <w:p>
      <w:pPr>
        <w:spacing w:after="0" w:line="17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revenues faster than the cost of using Amazon Web Services or similar providers increases.</w:t>
      </w:r>
    </w:p>
    <w:p>
      <w:pPr>
        <w:spacing w:after="0" w:line="20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Amazon Web Services may take actions beyond our control that could seriously harm our business, including discontinuing or limiting access to Amazon Web Services, increasing pricing terms, terminating our contract, establishing more favorable relationships or pricing terms with one or more of our competitors, and modifying or interpreting its terms of service or other policies in a manner that impacts our ability to administer our business and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evolving laws and regulations.</w:t>
      </w:r>
    </w:p>
    <w:p>
      <w:pPr>
        <w:spacing w:after="0" w:line="23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they terminate their relationships with us or refuse to renew their agreements with us on commercially reasonable terms,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w:t>
      </w:r>
    </w:p>
    <w:p>
      <w:pPr>
        <w:spacing w:after="0" w:line="206"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w:t>
      </w:r>
    </w:p>
    <w:p>
      <w:pPr>
        <w:spacing w:after="0" w:line="20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use of our platform could be adversely affected if our mobile solutions are not effective.</w:t>
      </w:r>
    </w:p>
    <w:p>
      <w:pPr>
        <w:spacing w:after="0" w:line="23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w:t>
      </w:r>
    </w:p>
    <w:p>
      <w:pPr>
        <w:spacing w:after="0" w:line="202"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As new mobile devices and mobile features are released, we may encounter problems in developing or supporting apps for them. In addition, supporting new devices and mobile device operating systems may require substantial time and resources.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success of our mobile apps could also be harmed by factors outside our control, including:</w:t>
      </w:r>
    </w:p>
    <w:p>
      <w:pPr>
        <w:spacing w:after="0" w:line="117" w:lineRule="exact"/>
        <w:rPr>
          <w:sz w:val="20"/>
          <w:szCs w:val="20"/>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taken by mobile app distributors, including the Apple App Store and the Google Play Store;</w:t>
      </w:r>
    </w:p>
    <w:p>
      <w:pPr>
        <w:spacing w:after="0" w:line="117" w:lineRule="exact"/>
        <w:rPr>
          <w:rFonts w:ascii="Arial" w:cs="Arial" w:eastAsia="Arial" w:hAnsi="Arial"/>
          <w:sz w:val="18"/>
          <w:szCs w:val="18"/>
          <w:color w:val="auto"/>
        </w:rPr>
      </w:pPr>
    </w:p>
    <w:p>
      <w:pPr>
        <w:ind w:left="980" w:right="200" w:hanging="432"/>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treatment received by our mobile apps, especially as compared to competing apps, such as the placement of our mobile apps in a mobile app download store;</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in the distribution and use our mobile app; or</w:t>
      </w:r>
    </w:p>
    <w:p>
      <w:pPr>
        <w:spacing w:after="0" w:line="117" w:lineRule="exact"/>
        <w:rPr>
          <w:rFonts w:ascii="Arial" w:cs="Arial" w:eastAsia="Arial" w:hAnsi="Arial"/>
          <w:sz w:val="18"/>
          <w:szCs w:val="18"/>
          <w:color w:val="auto"/>
        </w:rPr>
      </w:pPr>
    </w:p>
    <w:p>
      <w:pPr>
        <w:ind w:left="980" w:right="160" w:hanging="432"/>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mobile operating systems, such as iOS and Android, that degrade the functionality of our mobile website or mobile apps or that give preferential treatment to competitive offerings.</w:t>
      </w:r>
    </w:p>
    <w:p>
      <w:pPr>
        <w:spacing w:after="0" w:line="197"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If our learners encounter difficulty accessing or using, or if they choose not to use, our mobile platform, our business and results of operations may be adversely affected.</w:t>
      </w:r>
    </w:p>
    <w:p>
      <w:pPr>
        <w:spacing w:after="0" w:line="175"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Internet search engines drive traffic to our platform and, if we fail to appear prominently in search results, our growth rate could decline and our business, financial condition, and results of operations could be adversely affected.</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16"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We may be unable to adequately obtain, maintain, protect, and enforce our intellectual property and proprietary information, which could adversely affect our business, financial condition, and results of operations.</w:t>
      </w:r>
    </w:p>
    <w:p>
      <w:pPr>
        <w:spacing w:after="0" w:line="17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Our business depends on our intellectual property, the protection of which is critical to our success. We rely on a combination of intellectual property rights, including patents, 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 enforce our rights or if we do not detect or are unable to address unauthorized use of our intellectual property. We may be required to use significant resources to monitor and protect these rights. Despite our precautions, it may be possible for unauthorized third parties to copy portions or all of our platform and use information that we regard as proprietary to create services that compete with ours. Some license provisions protecting against unauthorized use, copying, transfer, and disclosure of our proprietary information may be unenforceable under the laws of certain jurisdictions.</w:t>
      </w:r>
    </w:p>
    <w:p>
      <w:pPr>
        <w:spacing w:after="0" w:line="2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7"/>
          <w:szCs w:val="17"/>
          <w:color w:val="auto"/>
        </w:rPr>
        <w:t>As of June 30, 2021, we held 12 registered trademarks in the United States and 22 registered trademarks in foreign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w:t>
      </w:r>
    </w:p>
    <w:p>
      <w:pPr>
        <w:spacing w:after="0" w:line="2"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Further, we hold a small number of issued patents and thus have a limited ability to exclude or prevent our competitors from implementing technology, methods, and processes similar to our own. Litigation or proceedings before the U.S. Patent and Trademark Office or other governmental authorities and administrative bodies in the United States and abroad may be necessary in the future to enforce our intellectual property rights and to determine the validity and scope of our rights and the proprietary rights of others.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w:t>
      </w:r>
    </w:p>
    <w:p>
      <w:pPr>
        <w:spacing w:after="0" w:line="21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consultants and enter into confidentiality agreements with the parties with whom we have strategic relationships. No assurance can be given that these agreements will be effective in controlling access to our proprietary information and trade secrets. The confidentiality agreements on which we rely to protect certain technologies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 In addition, others may independently discover our trade secrets and confidential information, and in such cases we may not be able to assert any trade secret rights against such parties.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w:t>
      </w:r>
    </w:p>
    <w:p>
      <w:pPr>
        <w:spacing w:after="0" w:line="20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05"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 our platform. If our competitors infringe, misappropriate, or otherwise violate our intellectual property rights and we are not adequately protected,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platform, prevent or delay introductions of new or enhanced solutions,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w:t>
      </w:r>
    </w:p>
    <w:p>
      <w:pPr>
        <w:spacing w:after="0" w:line="191"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176"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them difficult or impossible to qualify for such protection, increasing our exposure. While our Terms of Use, Instructor Terms and Trust &amp; Safety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w:t>
      </w:r>
    </w:p>
    <w:p>
      <w:pPr>
        <w:spacing w:after="0" w:line="204" w:lineRule="exact"/>
        <w:rPr>
          <w:sz w:val="20"/>
          <w:szCs w:val="20"/>
          <w:color w:val="auto"/>
        </w:rPr>
      </w:pPr>
    </w:p>
    <w:p>
      <w:pPr>
        <w:ind w:left="120" w:right="140"/>
        <w:spacing w:after="0" w:line="253" w:lineRule="auto"/>
        <w:rPr>
          <w:sz w:val="20"/>
          <w:szCs w:val="20"/>
          <w:color w:val="auto"/>
        </w:rPr>
      </w:pPr>
      <w:r>
        <w:rPr>
          <w:rFonts w:ascii="Arial" w:cs="Arial" w:eastAsia="Arial" w:hAnsi="Arial"/>
          <w:sz w:val="17"/>
          <w:szCs w:val="17"/>
          <w:color w:val="auto"/>
        </w:rPr>
        <w:t>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73"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open source software in a certain manner, certain proprietary software (including our own software) or other intellectual 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financial reporting, taxation, and operations as a public company</w:t>
      </w:r>
    </w:p>
    <w:p>
      <w:pPr>
        <w:spacing w:after="0" w:line="216" w:lineRule="exact"/>
        <w:rPr>
          <w:sz w:val="20"/>
          <w:szCs w:val="20"/>
          <w:color w:val="auto"/>
        </w:rPr>
      </w:pPr>
    </w:p>
    <w:p>
      <w:pPr>
        <w:ind w:left="120" w:right="1000"/>
        <w:spacing w:after="0" w:line="301" w:lineRule="auto"/>
        <w:rPr>
          <w:sz w:val="20"/>
          <w:szCs w:val="20"/>
          <w:color w:val="auto"/>
        </w:rPr>
      </w:pPr>
      <w:r>
        <w:rPr>
          <w:rFonts w:ascii="Arial" w:cs="Arial" w:eastAsia="Arial" w:hAnsi="Arial"/>
          <w:sz w:val="17"/>
          <w:szCs w:val="17"/>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3"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but not to “emerging growth companies,” including:</w:t>
      </w:r>
    </w:p>
    <w:p>
      <w:pPr>
        <w:spacing w:after="0" w:line="108" w:lineRule="exact"/>
        <w:rPr>
          <w:sz w:val="20"/>
          <w:szCs w:val="20"/>
          <w:color w:val="auto"/>
        </w:rPr>
      </w:pPr>
    </w:p>
    <w:p>
      <w:pPr>
        <w:ind w:left="980" w:right="2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independent registered public accounting firm will not be required to provide an attestation report on the effectiveness of our internal control over financial reporting, which may increase the risk that weaknesses or deficiencies in our internal control over financial reporting go undetected;</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980" w:right="120" w:hanging="432"/>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9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As a result, our stockholders may not have access to certain information that they may deem important. We will remain an emerging growth company until the earliest of:</w:t>
      </w:r>
    </w:p>
    <w:p>
      <w:pPr>
        <w:spacing w:after="0" w:line="102"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$1.07 billion in annual revenue;</w:t>
      </w:r>
    </w:p>
    <w:p>
      <w:pPr>
        <w:spacing w:after="0" w:line="117" w:lineRule="exact"/>
        <w:rPr>
          <w:rFonts w:ascii="Arial" w:cs="Arial" w:eastAsia="Arial" w:hAnsi="Arial"/>
          <w:sz w:val="18"/>
          <w:szCs w:val="18"/>
          <w:color w:val="auto"/>
        </w:rPr>
      </w:pPr>
    </w:p>
    <w:p>
      <w:pPr>
        <w:ind w:left="980" w:right="300" w:hanging="432"/>
        <w:spacing w:after="0" w:line="24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in which we qualify as a “large accelerated filer,” with at least $700.0 million of equity securities held by non-affiliates;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12"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take advantage of this extended transition period until the earlier of the date we</w:t>
      </w:r>
    </w:p>
    <w:p>
      <w:pPr>
        <w:spacing w:after="0" w:line="1" w:lineRule="exact"/>
        <w:rPr>
          <w:sz w:val="20"/>
          <w:szCs w:val="20"/>
          <w:color w:val="auto"/>
        </w:rPr>
      </w:pPr>
    </w:p>
    <w:p>
      <w:pPr>
        <w:ind w:left="120" w:right="140" w:hanging="4"/>
        <w:spacing w:after="0"/>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So long as we qualify as an emerging growth company, we may elect not to provide you with certain information that we would otherwise have been required to provide in filings we make with the Securities and Exchange Commission, or the SEC, which may make it more difficult for investors and securities analysts to evaluate our company. As a result, investor confidence in our company and the market price of our common stock may be adversely affected. Further,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8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w:t>
      </w:r>
    </w:p>
    <w:p>
      <w:pPr>
        <w:spacing w:after="0" w:line="191"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As a public company, we will be required to comply with the requirements of the Securities Exchange Act of 1934, as amended, or the Exchange Act, the Sarbanes-Oxley Act of 2002, or the Sarbanes-Oxley Act, and the rules and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regulations of Nasdaq. 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20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Under the Sarbanes-Oxley Act, we will be required to make a formal assessment of the effectiveness of our internal control over financial reporting commencing with our second annual report on Form 10-K, and, once we cease to be an emerging growth company and if we are deemed to be an accelerated filer or large accelerated filer for purposes of the Exchange Act,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we anticipate will be costly, challenging, and time consuming.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period or at all, that our internal control over financial reporting is effective as required by Section 404 of the Sarbanes-Oxley Act. In addition, if we are unable to continue to meet these requirements, we may not be able to remain listed on Nasdaq. Our current controls and any new controls that we develop may become inadequate because of changes in conditions in our business. Moreover, our testing, or the subsequent testing by our independent registered public accounting firm, may reveal additional deficiencies in our internal control over financial reporting that are deemed to be material weaknesses.</w:t>
      </w:r>
    </w:p>
    <w:p>
      <w:pPr>
        <w:spacing w:after="0" w:line="21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83"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Following this offering, we will incur increased costs and administrative burdens as a public company, which could have an adverse effect on our business, financial condition, and results of operations.</w:t>
      </w:r>
    </w:p>
    <w:p>
      <w:pPr>
        <w:spacing w:after="0" w:line="17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Following this offering, we will incur increased legal, accounting, administrative, and other costs and expenses as a public company that we do not incur as a private company, and these expenses may increase even more after we are no longer an “emerging growth company.” As a public company, we will be subject to additional reporting and other obligations, such as the reporting requirements of the Exchange Act, the applicable requirements of the Sarbanes-Oxley Act, and the applicable listing standards of Nasdaq. For example, the Exchange Act requires, among other things,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w:t>
      </w:r>
    </w:p>
    <w:p>
      <w:pPr>
        <w:spacing w:after="0" w:line="20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Many members of our management team have limited experience managing a publicly traded company, interacting with public company investors, and complying with the increasingly complex laws pertaining to public companies, and certain members joined us more recently. Our management team may not successfully or</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including as a result of our international operations or implementation of new tax rules, could harm our future results of operations.</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are subject to income taxes in the United States and certain foreign jurisdictions, including Brazil, India, Ireland, Japan, and Turkey.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any decision to repatriate non-U.S. earnings for which we have not previously provided for taxes and the valuation of deferred tax assets and liabilities. Increases in our effective tax rate would reduce profitability or increase losses. Forecasting our estimated annual effective tax rate is complex and subject to uncertainty, and there may be material differences between our forecasted and actual tax rates. In addition, we are subject to complex transfer pricing regulations administered by taxing authorities in various jurisdictions.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w:t>
      </w:r>
    </w:p>
    <w:p>
      <w:pPr>
        <w:spacing w:after="0" w:line="204"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As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On an ongoing basis, we are subject to examination by federal, state, local, and foreign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 Certain risks relating to employment taxes and sales taxes are described in more detail under “—Taxing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20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Recently, the Biden administration proposed to adjust the U.S. corporate tax rate, along with other tax measures, such as international business operations reform and/or imposition of a global minimum tax. Many countries and organizations such as the Organization for Economic Cooperation and Development are also actively considering changes to existing tax laws or have proposed or enacted new laws, such as those relating to digital tax, that could increase our tax obligations in countries where we do business or cause us to change the way we operate our business. Any of these developments or changes in federal, state, or international tax laws or tax rulings could adversely affect our effective tax rate and our operating results.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60"/>
        <w:spacing w:after="0" w:line="247" w:lineRule="auto"/>
        <w:rPr>
          <w:sz w:val="20"/>
          <w:szCs w:val="20"/>
          <w:color w:val="auto"/>
        </w:rPr>
      </w:pPr>
      <w:r>
        <w:rPr>
          <w:rFonts w:ascii="Arial" w:cs="Arial" w:eastAsia="Arial" w:hAnsi="Arial"/>
          <w:sz w:val="18"/>
          <w:szCs w:val="18"/>
          <w:b w:val="1"/>
          <w:bCs w:val="1"/>
          <w:i w:val="1"/>
          <w:iCs w:val="1"/>
          <w:color w:val="auto"/>
        </w:rPr>
        <w:t>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19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203" w:lineRule="exact"/>
        <w:rPr>
          <w:sz w:val="20"/>
          <w:szCs w:val="20"/>
          <w:color w:val="auto"/>
        </w:rPr>
      </w:pPr>
    </w:p>
    <w:p>
      <w:pPr>
        <w:ind w:left="120" w:right="20"/>
        <w:spacing w:after="0" w:line="251" w:lineRule="auto"/>
        <w:rPr>
          <w:sz w:val="20"/>
          <w:szCs w:val="20"/>
          <w:color w:val="auto"/>
        </w:rPr>
      </w:pPr>
      <w:r>
        <w:rPr>
          <w:rFonts w:ascii="Arial" w:cs="Arial" w:eastAsia="Arial" w:hAnsi="Arial"/>
          <w:sz w:val="17"/>
          <w:szCs w:val="17"/>
          <w:color w:val="auto"/>
        </w:rPr>
        <w:t>We are subject to indirect taxes, such as sales, use, value-added, and goods and services taxes, in the United States and other foreign jurisdictions, and 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tax assessments, penalties and interest, and we may be required to collect such taxes in the future.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 Further, even where we are collecting taxes and remitting them to the appropriate authorities, we may fail to accurately calculate, collect, report, and remit such taxes.</w:t>
      </w:r>
    </w:p>
    <w:p>
      <w:pPr>
        <w:spacing w:after="0" w:line="199"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 xml:space="preserve">Additionally, one or more states, localities, or other taxing jurisdictions may seek to impose additional reporting, record-keeping, or indirect tax collection obligations on businesses like ours. For example, taxing authorities in the United States and other countries have identified e-commerce platforms as a means to calculate, collect, and remit indirect taxes for transactions taking place over the internet, and are considering related legislation. After the U.S. Supreme Court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certain states have enacted laws that would require tax reporting, collection, or tax remittance on items sold online, even where the online seller lacks a physical presence or nexus in that state. Requiring tax reporting or collection could decrease learner or instructor activity, which would harm our business. These state laws could require us to incur substantial costs in order to comply, including costs associated with tax calculation, collection, and remittance and audit requirements, which could make our offerings less attractive and could adversely affect our business, financial condition, and results of operations.</w:t>
      </w:r>
    </w:p>
    <w:p>
      <w:pPr>
        <w:spacing w:after="0" w:line="20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underwithheld amounts, fines, and penalties. In addition, a tax authority could assert that we should be withholding employment or other taxes from payments to instructors. In 2020, we began approaching the Internal Revenue Service, or the IRS, to address our historical withholding amounts for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spacing w:after="0" w:line="208"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we had federal net operating loss carryforwards, or NOLs, to offset future taxable income of approximately</w:t>
      </w:r>
    </w:p>
    <w:p>
      <w:pPr>
        <w:ind w:left="120" w:right="100"/>
        <w:spacing w:after="0" w:line="236" w:lineRule="auto"/>
        <w:rPr>
          <w:sz w:val="20"/>
          <w:szCs w:val="20"/>
          <w:color w:val="auto"/>
        </w:rPr>
      </w:pPr>
      <w:r>
        <w:rPr>
          <w:rFonts w:ascii="Arial" w:cs="Arial" w:eastAsia="Arial" w:hAnsi="Arial"/>
          <w:sz w:val="18"/>
          <w:szCs w:val="18"/>
          <w:color w:val="auto"/>
        </w:rPr>
        <w:t>$167.0 million. The $85.4 million of federal NOLs generated in taxable years beginning prior to January 1, 2018 begin expiring in 2030 if not utilized. The $81.6 million of federal NOLs generated in taxable years beginning after December 31, 2017 have an indefinite carryforward period. Realization of these NOLs depends on our future profitability. We have incurred net losses since our inception, and we expect to continue to incur net losses in the near future. As such, there is a risk that our existing NOLs generated before 2018 could expire unused and be unavailable to offset future income tax liabilities if we never achieve profitability. This may require us to pay federal income taxes in future years even if our NOLs were otherwise sufficient to offset our federal taxable income in such years. There is also a risk that due to regulatory changes, such as suspensions on the use of NOLs, or other unforeseen reasons, our existing NOLs could expire or otherwise be unavailable to offset future income tax liabilities. Our NOLs may be similarly impaired under state laws. For example, California recently enacted legislation limiting our ability to use our state NOLs for taxable years 2020, 2021 and 2022. We have recorded a full valuation allowance related to our NOLs and other deferred tax assets due to the uncertainty of the ultimate realization of the future benefits of these assets. If our NOLs and other tax attributes expire before utilization or are subject to limitations, our business and financial results could be harmed.</w:t>
      </w:r>
    </w:p>
    <w:p>
      <w:pPr>
        <w:spacing w:after="0" w:line="2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addition, under Section 382 of the Internal Revenue Code of 1986, as amended, or the Code,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We may be limited as to the amount of our current NOLs and tax credit carryforwards that can be utilized each year as a result of previous ownership changes. We have performed a Section 382 study to determine any potential Section 382 limitations on the utilization of our NOLs and tax credit carryforwards and have determined that our company experienced two ownership changes: one in connection with our Series A and A-1 preferred stock offering in September 2011, and another in connection with our Series B preferred stock offering in November 2012. We have estimated that the gross U.S. federal NOLs from 2010 to 2012 that would be subject to limitation are approximately $3.6 million. If it is determined that we have in the past experienced additional ownership changes, or if we experience one or more ownership changes as a result of this offering, future transactions in our stock, some of which are outside our control, or both, our ability to use our NOLs and federal tax credit carryforwards to reduce future taxable income and liabilities may be further limited. Similar limitations may apply under state tax laws.</w:t>
      </w:r>
    </w:p>
    <w:p>
      <w:pPr>
        <w:spacing w:after="0" w:line="181"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Our results of operations, which we report in U.S. dollars, could be adversely affected if currency exchange rates fluctuate substantially in the future.</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conduct our business across more than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2020, 43% of our sales were denominated in currencies other than U.S. dollars, including euros, Indian rupees, British pounds sterling, Brazilian reais, and Japanese yen. Our expenses, by contrast, are primarily denominated in U.S. dollars. As a result, any increase in the value of the U.S. dollar against these foreign currencies could cause our revenue to decline relative to our costs, thereby decreasing our gross margins.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generally accepted accounting principles.</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ownership of our common stock</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2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Prior to this offering, there has been no public market for shares of our common stock. The initial public offering price of our common stock has been determined through negotiation among us and the underwriters. This price does not necessarily reflect the price at which investors in the market will be willing to buy and sell shares of our common stock following this offering. In addition, the trading price of our common stock following this offering is likely to be volatile and could be subject to fluctuations in response to various factors, some of which are beyond our control. These fluctuations could cause you to lose all or part of your investment in our common stock since you might be unable to sell your shares at or above the price you paid in this offering. Factors that could cause fluctuations in the trading price of our common stock include the following:</w:t>
      </w:r>
    </w:p>
    <w:p>
      <w:pPr>
        <w:spacing w:after="0" w:line="108" w:lineRule="exact"/>
        <w:rPr>
          <w:sz w:val="20"/>
          <w:szCs w:val="20"/>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980" w:right="640" w:hanging="432"/>
        <w:spacing w:after="0" w:line="246"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980" w:right="320" w:hanging="432"/>
        <w:spacing w:after="0" w:line="246"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new services or platform features;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other incidents;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17" w:lineRule="exact"/>
        <w:rPr>
          <w:rFonts w:ascii="Arial" w:cs="Arial" w:eastAsia="Arial" w:hAnsi="Arial"/>
          <w:sz w:val="18"/>
          <w:szCs w:val="18"/>
          <w:color w:val="auto"/>
        </w:rPr>
      </w:pPr>
    </w:p>
    <w:p>
      <w:pPr>
        <w:ind w:left="980" w:right="300" w:hanging="432"/>
        <w:spacing w:after="0" w:line="24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public health concerns or epidemics, such as the COVID-19 pandemic, natural disasters, or responses to these events; and</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12"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Moreover,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addition, the cornerstone investor has indicated an interest in purchasing an aggregate of up to $75.0 million in shares of our common stock offered in this offering at the initial public offering price. Because this indication of interest is not a binding agreement or commitment to purchase, the cornerstone investor may decide to purchase more, less or no shares of our common stock in this offering, or the underwriters may decide to sell more, less or no shares of our common stock in this offering to the cornerstone investor. If the cornerstone investor is allocated all or a portion of the shares in which they have indicated an interest in this offering or more, and purchase any such shares, such purchase could reduce the available public float for our shares if the cornerstone investor holds such shares long term, though the cornerstone investor is not obligated to do so.</w:t>
      </w:r>
    </w:p>
    <w:p>
      <w:pPr>
        <w:spacing w:after="0" w:line="18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or be sustained, and you may not be able to sell your shares at or above the initial public offering price, or at all.</w:t>
      </w:r>
    </w:p>
    <w:p>
      <w:pPr>
        <w:spacing w:after="0" w:line="17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Although our common stock has been approved for listing on Nasdaq, an active trading market for our shares may never develop or be sustained following this offering. The initial public offering price for our common stock was determined through negotiations with the underwriters, and the negotiated price may not be indicative of the market price of the common stock after the offering. This initial public offering price may vary from the market price of our common stock after the offering. As a result of these and other factors, you may be unable to resell your shares of our common stock at or above the initial public offering price.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2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purchased our common stock in this offering, at the initial public offering price of $29.00 per share, you would experience an immediate dilution of $26.48 per share, the difference between the price per share you pay for our common stock and our pro forma net tangible book value per share as of June 30, 2021, after giving effect to the issuance by us of 14,500,000 shares of our common stock in this offering. See “Dilution” for additional information.</w:t>
      </w:r>
    </w:p>
    <w:p>
      <w:pPr>
        <w:spacing w:after="0" w:line="18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A significant portion of our common stock is restricted from immediate resale but may be sold into the market in the near future, which could depress the market price of our common stock.</w:t>
      </w:r>
    </w:p>
    <w:p>
      <w:pPr>
        <w:spacing w:after="0" w:line="176"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Upon the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closing of this offering, we will have approximately 137,427,466 shares of common stock outstanding, assuming no exercise of the underwriters’ over-allotment option. All of the shares of common stock sold in this offering will be freely transferable without restriction or additional registration under the Securities Act.</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All of our executive officers and directors and the holders of substantially all of our equity securities are subject to lock-up agreements with the underwriters of this offering that restrict the equityholders’ ability to transfer shares of our common stock for a restricted period of up to 180 days from the date of this prospectus, subject to earlier release under certain conditions described therein. See “Shares eligible for future sale” and “Underwriters” for additional information.</w:t>
      </w:r>
    </w:p>
    <w:p>
      <w:pPr>
        <w:spacing w:after="0" w:line="20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Subject to the restrictions under Rule 144 under the Securities Act, 123,438,555 shares of common stock outstanding after this offering will be eligible for resale 180 days after the date of this prospectus upon the expiration of lock-up agreements or other contractual restrictions. In addition, at any time with or without public notice, Morgan Stanley &amp; Co. LLC may in its discretion release shares subject to such lock-up agreements prior to the expiration of the restricted period. If such a release is granted to one of our directors, officers or holders of 4% or more of our outstanding common stock, then our 5% stockholders (as identified elsewhere in this prospectus) will be released from such restriction on a pro-rata basis, subject to certain exceptions set forth in the lock-up agreements. See “Shares eligible for future sale” and “Underwriters” for additional information. As these resale restrictions end, the market price of our common stock could decline if the holders of those shares sell them or are perceived by the market as intending to sell them.</w:t>
      </w:r>
    </w:p>
    <w:p>
      <w:pPr>
        <w:spacing w:after="0" w:line="20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addition, based on our capitalization as of June 30, 2021, 20,173,022 shares issuable upon exercise of outstanding options will also be eligible for sale upon expiration of the restricted period, which excludes 103,663 outstanding stock appreciation rights that will be settled in cash upon exercise. We intend to register all of the shares underlying outstanding options and any shares underlying other equity incentives we may grant in the future for public resale under the Securities Act. Accordingly, these shares will be able to be freely sold in the public market upon issuance to the extent permitted by any applicable vesting requirements and the lock-up agreements described above. Sales of stock by these stockholders or the perception that such sales could occur could adversely affect the trading price of our common stock.</w:t>
      </w:r>
    </w:p>
    <w:p>
      <w:pPr>
        <w:spacing w:after="0" w:line="20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Holders of 109,132,406 shares of our common stock have registration rights. For more information, see “Description of capital stock— Registration rights.” Registration of these shares under the Securities Act would result in the shares becoming freely tradable without restriction under the Securities Act, except for shares held by our affiliates as defined in Rule 144 under the Securities Act, which are subject to the limitations of Rule 144. Sales of securities by any of these stockholders or the perception that such sales could occur could adversely affect the trading price of our common stock.</w:t>
      </w:r>
    </w:p>
    <w:p>
      <w:pPr>
        <w:spacing w:after="0" w:line="180"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to our stockholders and cause the price of our common stock to decline.</w:t>
      </w:r>
    </w:p>
    <w:p>
      <w:pPr>
        <w:spacing w:after="0" w:line="17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may issue additional common stock, convertible securities, or other equity following the completion of this offering.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18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w:t>
      </w:r>
    </w:p>
    <w:p>
      <w:pPr>
        <w:spacing w:after="0" w:line="191"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The analysts’ estimates are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price and trading volume of our common stock to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3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Consequently, stockholders must rely on sales of their shares of our common stock after price appreciation, which may never occur, as the only way to realize any future gains on their investment.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over the use of net proceeds from this offering and may not use them effectively.</w:t>
      </w:r>
    </w:p>
    <w:p>
      <w:pPr>
        <w:spacing w:after="0" w:line="23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financial condition, and results of operations. Pending their use, we may invest our proceeds in a manner that does not produce income or that loses value. Our investments may not yield a favorable return to our investors and may negatively impact the price of our common stock.</w:t>
      </w:r>
    </w:p>
    <w:p>
      <w:pPr>
        <w:spacing w:after="0" w:line="1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common stock and will be able to exert significant control over matters subject to stockholder approval.</w:t>
      </w:r>
    </w:p>
    <w:p>
      <w:pPr>
        <w:spacing w:after="0" w:line="17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After this offering, our directors, executive officers, and holders of more than 5% of our outstanding common stock, together with their respective affiliates, will beneficially own shares representing approximately 62% of our outstanding common stock, or 61%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3" w:lineRule="exact"/>
        <w:rPr>
          <w:sz w:val="20"/>
          <w:szCs w:val="20"/>
          <w:color w:val="auto"/>
        </w:rPr>
      </w:pPr>
    </w:p>
    <w:p>
      <w:pPr>
        <w:ind w:left="120" w:right="100"/>
        <w:spacing w:after="0" w:line="301"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amended and restated bylaws might delay, discourage or prevent a merger, tender offer or proxy contest, thereby depressing the market price of our common stock.</w:t>
      </w:r>
    </w:p>
    <w:p>
      <w:pPr>
        <w:spacing w:after="0" w:line="15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or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will contain provisions that may make any acquisition of our company more difficult or delay or prevent changes in control of our management. Among other things, these provisions will:</w:t>
      </w:r>
    </w:p>
    <w:p>
      <w:pPr>
        <w:spacing w:after="0" w:line="110" w:lineRule="exact"/>
        <w:rPr>
          <w:sz w:val="20"/>
          <w:szCs w:val="20"/>
          <w:color w:val="auto"/>
        </w:rPr>
      </w:pPr>
    </w:p>
    <w:p>
      <w:pPr>
        <w:ind w:left="980" w:hanging="43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60" w:hanging="432"/>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jc w:val="both"/>
        <w:ind w:left="980" w:right="60" w:hanging="432"/>
        <w:spacing w:after="0" w:line="23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spacing w:after="0" w:line="110"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17" w:lineRule="exact"/>
        <w:rPr>
          <w:rFonts w:ascii="Arial" w:cs="Arial" w:eastAsia="Arial" w:hAnsi="Arial"/>
          <w:sz w:val="18"/>
          <w:szCs w:val="18"/>
          <w:color w:val="auto"/>
        </w:rPr>
      </w:pPr>
    </w:p>
    <w:p>
      <w:pPr>
        <w:ind w:left="980" w:right="30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w:t>
      </w:r>
    </w:p>
    <w:p>
      <w:pPr>
        <w:spacing w:after="0" w:line="108" w:lineRule="exact"/>
        <w:rPr>
          <w:rFonts w:ascii="Arial" w:cs="Arial" w:eastAsia="Arial" w:hAnsi="Arial"/>
          <w:sz w:val="18"/>
          <w:szCs w:val="18"/>
          <w:color w:val="auto"/>
        </w:rPr>
      </w:pPr>
    </w:p>
    <w:p>
      <w:pPr>
        <w:ind w:left="980" w:right="380" w:hanging="432"/>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cumulative voting (therefore allowing the holders of a plurality of the shares of common stock entitled to vote in any election of directors to elect all of the directors standing for election, if they should so choose);</w:t>
      </w:r>
    </w:p>
    <w:p>
      <w:pPr>
        <w:spacing w:after="0" w:line="102" w:lineRule="exact"/>
        <w:rPr>
          <w:rFonts w:ascii="Arial" w:cs="Arial" w:eastAsia="Arial" w:hAnsi="Arial"/>
          <w:sz w:val="18"/>
          <w:szCs w:val="18"/>
          <w:color w:val="auto"/>
        </w:rPr>
      </w:pPr>
    </w:p>
    <w:p>
      <w:pPr>
        <w:ind w:left="980" w:right="900" w:hanging="432"/>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102" w:lineRule="exact"/>
        <w:rPr>
          <w:rFonts w:ascii="Arial" w:cs="Arial" w:eastAsia="Arial" w:hAnsi="Arial"/>
          <w:sz w:val="18"/>
          <w:szCs w:val="18"/>
          <w:color w:val="auto"/>
        </w:rPr>
      </w:pPr>
    </w:p>
    <w:p>
      <w:pPr>
        <w:ind w:left="980" w:right="640" w:hanging="432"/>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02" w:lineRule="exact"/>
        <w:rPr>
          <w:rFonts w:ascii="Arial" w:cs="Arial" w:eastAsia="Arial" w:hAnsi="Arial"/>
          <w:sz w:val="18"/>
          <w:szCs w:val="18"/>
          <w:color w:val="auto"/>
        </w:rPr>
      </w:pPr>
    </w:p>
    <w:p>
      <w:pPr>
        <w:ind w:left="980" w:right="6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acting pursuant to a resolution adopted by the majority of the entire board of directors, the Chairperson of the board of directors, our Chief Executive Officer or our President;</w:t>
      </w:r>
    </w:p>
    <w:p>
      <w:pPr>
        <w:spacing w:after="0" w:line="108" w:lineRule="exact"/>
        <w:rPr>
          <w:rFonts w:ascii="Arial" w:cs="Arial" w:eastAsia="Arial" w:hAnsi="Arial"/>
          <w:sz w:val="18"/>
          <w:szCs w:val="18"/>
          <w:color w:val="auto"/>
        </w:rPr>
      </w:pPr>
    </w:p>
    <w:p>
      <w:pPr>
        <w:ind w:left="980" w:right="260" w:hanging="432"/>
        <w:spacing w:after="0" w:line="23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w:t>
      </w:r>
    </w:p>
    <w:p>
      <w:pPr>
        <w:spacing w:after="0" w:line="110" w:lineRule="exact"/>
        <w:rPr>
          <w:rFonts w:ascii="Arial" w:cs="Arial" w:eastAsia="Arial" w:hAnsi="Arial"/>
          <w:sz w:val="18"/>
          <w:szCs w:val="18"/>
          <w:color w:val="auto"/>
        </w:rPr>
      </w:pPr>
    </w:p>
    <w:p>
      <w:pPr>
        <w:ind w:left="980" w:right="320" w:hanging="432"/>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and</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of the provisions described above.</w:t>
      </w:r>
    </w:p>
    <w:p>
      <w:pPr>
        <w:spacing w:after="0" w:line="21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80"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Our amended and restated bylaws will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w:t>
      </w:r>
    </w:p>
    <w:p>
      <w:pPr>
        <w:spacing w:after="0" w:line="19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Our amended and restated bylaws will provide that, to the fullest extent permitted by applicable law and unless we consent in writing to the selection of an alternative forum, the Court of Chancery of the State of Delaware (or,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w:t>
      </w:r>
    </w:p>
    <w:p>
      <w:pPr>
        <w:spacing w:after="0" w:line="205"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Our amended and restated bylaws will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p>
    <w:p>
      <w:pPr>
        <w:spacing w:after="0" w:line="19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Special note regarding forward-looking statements</w:t>
      </w:r>
    </w:p>
    <w:p>
      <w:pPr>
        <w:spacing w:after="0" w:line="14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expected research and development costs,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73" w:lineRule="exact"/>
        <w:rPr>
          <w:sz w:val="20"/>
          <w:szCs w:val="20"/>
          <w:color w:val="auto"/>
        </w:rPr>
      </w:pPr>
    </w:p>
    <w:p>
      <w:pPr>
        <w:ind w:left="660" w:right="5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financial and operating performance, including our expectations regarding our revenue, costs, monthly average buyers, number of UB customers, UB Annual Recurring Revenue, UB Net Dollar Retention Rate, Segment Revenue, Segment Gross Profit Margin, Adjusted EBITDA, and Adjusted EBITDA Margin;</w:t>
      </w:r>
    </w:p>
    <w:p>
      <w:pPr>
        <w:spacing w:after="0" w:line="81"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execute our business and growth strategy;</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learners, instructors, and enterprise customers;</w:t>
      </w:r>
    </w:p>
    <w:p>
      <w:pPr>
        <w:spacing w:after="0" w:line="90" w:lineRule="exact"/>
        <w:rPr>
          <w:rFonts w:ascii="Arial" w:cs="Arial" w:eastAsia="Arial" w:hAnsi="Arial"/>
          <w:sz w:val="18"/>
          <w:szCs w:val="18"/>
          <w:color w:val="auto"/>
        </w:rPr>
      </w:pPr>
    </w:p>
    <w:p>
      <w:pPr>
        <w:ind w:left="660" w:right="100" w:hanging="220"/>
        <w:spacing w:after="0" w:line="24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other platform enhancements by us, or by our competitors to their offerings, or any other changes in the competitive landscape of our markets and industry;</w:t>
      </w:r>
    </w:p>
    <w:p>
      <w:pPr>
        <w:spacing w:after="0" w:line="75"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markets in which we operate;</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internationally;</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market for online learning solutions, and the global economy generally;</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and protect our brand and reputation;</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retain, and motivate our skilled personnel, including members of our senior management team;</w:t>
      </w:r>
    </w:p>
    <w:p>
      <w:pPr>
        <w:spacing w:after="0" w:line="90" w:lineRule="exact"/>
        <w:rPr>
          <w:rFonts w:ascii="Arial" w:cs="Arial" w:eastAsia="Arial" w:hAnsi="Arial"/>
          <w:sz w:val="18"/>
          <w:szCs w:val="18"/>
          <w:color w:val="auto"/>
        </w:rPr>
      </w:pPr>
    </w:p>
    <w:p>
      <w:pPr>
        <w:ind w:left="660" w:right="600" w:hanging="220"/>
        <w:spacing w:after="0" w:line="24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taxation and privacy, data protection, and cybersecurity;</w:t>
      </w:r>
    </w:p>
    <w:p>
      <w:pPr>
        <w:spacing w:after="0" w:line="75"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identify, execute, and integrate any potential acquisitions;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our income and other tax liabilities;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and proprietary information;</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90"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performance or development. These forward-looking statements speak only as of the date of this prospectus and are subject to a number of risks, uncertainties, and assumptions described in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Market, industry, and other data</w:t>
      </w:r>
    </w:p>
    <w:p>
      <w:pPr>
        <w:spacing w:after="0" w:line="14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In some cases, we do not expressly refer to the sources from which this information derived. This information involves a number of assumptions and limitations, and you are cautioned not to give undue weight to such information.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 for additional information.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others, we refer to estimates and other information compiled by the following sources:</w:t>
      </w:r>
    </w:p>
    <w:p>
      <w:pPr>
        <w:spacing w:after="0" w:line="117" w:lineRule="exact"/>
        <w:rPr>
          <w:sz w:val="20"/>
          <w:szCs w:val="20"/>
          <w:color w:val="auto"/>
        </w:rPr>
      </w:pPr>
    </w:p>
    <w:p>
      <w:pPr>
        <w:ind w:left="660" w:hanging="22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Arizton, a market research and intelligence company;</w:t>
      </w:r>
    </w:p>
    <w:p>
      <w:pPr>
        <w:spacing w:after="0" w:line="117" w:lineRule="exact"/>
        <w:rPr>
          <w:rFonts w:ascii="Arial" w:cs="Arial" w:eastAsia="Arial" w:hAnsi="Arial"/>
          <w:sz w:val="18"/>
          <w:szCs w:val="18"/>
          <w:color w:val="auto"/>
        </w:rPr>
      </w:pPr>
    </w:p>
    <w:p>
      <w:pPr>
        <w:ind w:left="660" w:hanging="22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SIL International, a non-profit linguistics research organization;</w:t>
      </w:r>
    </w:p>
    <w:p>
      <w:pPr>
        <w:spacing w:after="0" w:line="117" w:lineRule="exact"/>
        <w:rPr>
          <w:rFonts w:ascii="Arial" w:cs="Arial" w:eastAsia="Arial" w:hAnsi="Arial"/>
          <w:sz w:val="18"/>
          <w:szCs w:val="18"/>
          <w:color w:val="auto"/>
        </w:rPr>
      </w:pPr>
    </w:p>
    <w:p>
      <w:pPr>
        <w:ind w:left="660" w:hanging="22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HolonIQ, a company that provides market intelligence research on the global education market; and</w:t>
      </w:r>
    </w:p>
    <w:p>
      <w:pPr>
        <w:spacing w:after="0" w:line="117" w:lineRule="exact"/>
        <w:rPr>
          <w:rFonts w:ascii="Arial" w:cs="Arial" w:eastAsia="Arial" w:hAnsi="Arial"/>
          <w:sz w:val="18"/>
          <w:szCs w:val="18"/>
          <w:color w:val="auto"/>
        </w:rPr>
      </w:pPr>
    </w:p>
    <w:p>
      <w:pPr>
        <w:ind w:left="660" w:hanging="22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World Economic Forum, an international non-governmental organization.</w:t>
      </w:r>
    </w:p>
    <w:p>
      <w:pPr>
        <w:spacing w:after="0" w:line="212"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This prospectus contains references to an ESG Risk Rating developed by Sustainalytics, a Morningstar company. The ESG Risk Rating is published on Sustainalytics’ website; however, the ESG Risk Rating should not be considered an offer to buy a security or investment advice, and neither the ESG Risk Rating nor any other information provided by Sustainalytics as part thereof should be considered as being a statement, representation, warranty, or argument either in favor or against the truthfulness, reliability, or completeness of any facts or statements that we have made available to Sustainalytics for the purpose of the ESG Risk Rating, in light of the circumstances under which such facts or statements have been presented. The ESG Risk Rating, in particular the images, text, and graphics contained therein, and the layout and company logo of Sustainalytics and/or Morningstar are protected under copyright and trademark law, all rights reserved. The use of the ESG Risk Rating and the information included therein is subject to conditions available at https://www.sustainalytics.com/legal-disclaimers. Information contained on, or that can be accessible through, Sustainalytics’ website is not a part of this prospectus and the inclusion of their website address in this prospectus is an inactive textual reference only.</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Use of proceeds</w:t>
      </w:r>
    </w:p>
    <w:p>
      <w:pPr>
        <w:spacing w:after="0" w:line="14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$391.2 million, or approximately $450.8 million if the underwriters exercise their option to purchase additional shares in full, based upon the initial public offering price of $29.00 per share, and after deducting the underwriting discounts and commissions and estimated offering expenses payable by us.</w:t>
      </w:r>
    </w:p>
    <w:p>
      <w:pPr>
        <w:spacing w:after="0" w:line="205"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w:t>
      </w:r>
    </w:p>
    <w:p>
      <w:pPr>
        <w:spacing w:after="0" w:line="197"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we do not have agreements or commitments for any material acquisitions or investments at this time. We cannot specify with certainty the particular uses of the net proceeds that we will receive from this offering.</w:t>
      </w:r>
    </w:p>
    <w:p>
      <w:pPr>
        <w:spacing w:after="0" w:line="20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Accordingly, we will have broad discretion in using these proceeds. Pending their use, we intend to invest the net proceeds of this offering primarily in short- and intermediate-term, interest-bearing obligations, investment-grade instruments, certificates of deposit, or direct or guaranteed obligations of the U.S. government.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Dividend policy</w:t>
      </w:r>
    </w:p>
    <w:p>
      <w:pPr>
        <w:spacing w:after="0" w:line="14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Capitalization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2021:</w:t>
      </w:r>
    </w:p>
    <w:p>
      <w:pPr>
        <w:spacing w:after="0" w:line="117" w:lineRule="exact"/>
        <w:rPr>
          <w:sz w:val="20"/>
          <w:szCs w:val="20"/>
          <w:color w:val="auto"/>
        </w:rPr>
      </w:pPr>
    </w:p>
    <w:p>
      <w:pPr>
        <w:ind w:left="660" w:hanging="22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jc w:val="both"/>
        <w:ind w:left="660" w:right="60" w:hanging="220"/>
        <w:spacing w:after="0" w:line="261"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outstanding shares of our redeemable convertible preferred stock into an aggregate of 85,403,933 shares of common stock immediately prior to the completion of this offering and (2) the filing and effectiveness of our amended and restated certificate of incorporation immediately prior to the completion of this offering; and</w:t>
      </w:r>
    </w:p>
    <w:p>
      <w:pPr>
        <w:spacing w:after="0" w:line="91" w:lineRule="exact"/>
        <w:rPr>
          <w:rFonts w:ascii="Arial" w:cs="Arial" w:eastAsia="Arial" w:hAnsi="Arial"/>
          <w:sz w:val="17"/>
          <w:szCs w:val="17"/>
          <w:color w:val="auto"/>
        </w:rPr>
      </w:pPr>
    </w:p>
    <w:p>
      <w:pPr>
        <w:ind w:left="660" w:right="640" w:hanging="22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as adjusted basis to reflect (1) the pro forma adjustments set forth above and (2) our issuance and sale of 14,500,000 shares of common stock in this offering at the initial public offering price of $29.00 per share, after deducting the underwriting discounts and commissions and estimated offering expenses payable by us.</w:t>
      </w:r>
    </w:p>
    <w:p>
      <w:pPr>
        <w:spacing w:after="0" w:line="203" w:lineRule="exact"/>
        <w:rPr>
          <w:sz w:val="20"/>
          <w:szCs w:val="20"/>
          <w:color w:val="auto"/>
        </w:rPr>
      </w:pPr>
    </w:p>
    <w:p>
      <w:pPr>
        <w:jc w:val="both"/>
        <w:ind w:left="120" w:right="520"/>
        <w:spacing w:after="0"/>
        <w:rPr>
          <w:sz w:val="20"/>
          <w:szCs w:val="20"/>
          <w:color w:val="auto"/>
        </w:rPr>
      </w:pPr>
      <w:r>
        <w:rPr>
          <w:rFonts w:ascii="Arial" w:cs="Arial" w:eastAsia="Arial" w:hAnsi="Arial"/>
          <w:sz w:val="18"/>
          <w:szCs w:val="18"/>
          <w:color w:val="auto"/>
        </w:rPr>
        <w:t>The pro forma as adjusted information set forth below is illustrative. You should read this information in conjunction with our audited consolidated financial statements and the related notes appearing elsewhere in this prospectus, as well as in “Selected consolidated financial and other data” and “Management’s discussion and analysis of financial condition and results of operations.”</w:t>
      </w:r>
    </w:p>
    <w:p>
      <w:pPr>
        <w:spacing w:after="0" w:line="217"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As of June 30, 2021</w:t>
      </w:r>
    </w:p>
    <w:p>
      <w:pPr>
        <w:spacing w:after="0" w:line="14" w:lineRule="exact"/>
        <w:rPr>
          <w:sz w:val="20"/>
          <w:szCs w:val="20"/>
          <w:color w:val="auto"/>
        </w:rPr>
      </w:pPr>
    </w:p>
    <w:tbl>
      <w:tblPr>
        <w:tblLayout w:type="fixed"/>
        <w:tblInd w:w="8300" w:type="dxa"/>
        <w:tblCellMar>
          <w:top w:w="0" w:type="dxa"/>
          <w:left w:w="0" w:type="dxa"/>
          <w:bottom w:w="0" w:type="dxa"/>
          <w:right w:w="0" w:type="dxa"/>
        </w:tblCellMar>
      </w:tblPr>
      <w:tr>
        <w:trPr>
          <w:trHeight w:val="142"/>
        </w:trPr>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Pro</w:t>
            </w:r>
          </w:p>
        </w:tc>
        <w:tc>
          <w:tcPr>
            <w:tcW w:w="1020" w:type="dxa"/>
            <w:vAlign w:val="bottom"/>
            <w:tcBorders>
              <w:top w:val="single" w:sz="8" w:color="auto"/>
            </w:tcBorders>
          </w:tcPr>
          <w:p>
            <w:pPr>
              <w:jc w:val="center"/>
              <w:ind w:left="148"/>
              <w:spacing w:after="0" w:line="143" w:lineRule="exact"/>
              <w:rPr>
                <w:sz w:val="20"/>
                <w:szCs w:val="20"/>
                <w:color w:val="auto"/>
              </w:rPr>
            </w:pPr>
            <w:r>
              <w:rPr>
                <w:rFonts w:ascii="Arial" w:cs="Arial" w:eastAsia="Arial" w:hAnsi="Arial"/>
                <w:sz w:val="14"/>
                <w:szCs w:val="14"/>
                <w:b w:val="1"/>
                <w:bCs w:val="1"/>
                <w:color w:val="auto"/>
              </w:rPr>
              <w:t>Pro forma</w:t>
            </w:r>
          </w:p>
        </w:tc>
      </w:tr>
      <w:tr>
        <w:trPr>
          <w:trHeight w:val="190"/>
        </w:trPr>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Actual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forma</w:t>
            </w: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rPr>
              <w:t>as adjusted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-8890</wp:posOffset>
            </wp:positionV>
            <wp:extent cx="1739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jc w:val="center"/>
        <w:ind w:left="8080"/>
        <w:spacing w:after="0"/>
        <w:rPr>
          <w:sz w:val="20"/>
          <w:szCs w:val="20"/>
          <w:color w:val="auto"/>
        </w:rPr>
      </w:pPr>
      <w:r>
        <w:rPr>
          <w:rFonts w:ascii="Arial" w:cs="Arial" w:eastAsia="Arial" w:hAnsi="Arial"/>
          <w:sz w:val="14"/>
          <w:szCs w:val="14"/>
          <w:b w:val="1"/>
          <w:bCs w:val="1"/>
          <w:color w:val="auto"/>
        </w:rPr>
        <w:t>(in thousands, except per share</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50577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57775"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260" w:right="80" w:hanging="143"/>
        <w:spacing w:after="0" w:line="258" w:lineRule="auto"/>
        <w:rPr>
          <w:sz w:val="20"/>
          <w:szCs w:val="20"/>
          <w:color w:val="auto"/>
        </w:rPr>
      </w:pPr>
      <w:r>
        <w:rPr>
          <w:rFonts w:ascii="Arial" w:cs="Arial" w:eastAsia="Arial" w:hAnsi="Arial"/>
          <w:sz w:val="14"/>
          <w:szCs w:val="14"/>
          <w:color w:val="auto"/>
        </w:rPr>
        <w:t>Redeemable convertible preferred stock, $0.00001 par value, 86,348,646 shares authorized; 85,403,933 shares issued and outstanding, actual; no shares authorized, issued and outstanding, 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50577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57775"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Stockholders’ (deficit):</w:t>
      </w:r>
    </w:p>
    <w:p>
      <w:pPr>
        <w:spacing w:after="0" w:line="55" w:lineRule="exact"/>
        <w:rPr>
          <w:sz w:val="20"/>
          <w:szCs w:val="20"/>
          <w:color w:val="auto"/>
        </w:rPr>
      </w:pPr>
    </w:p>
    <w:p>
      <w:pPr>
        <w:ind w:left="540" w:hanging="143"/>
        <w:spacing w:after="0" w:line="249" w:lineRule="auto"/>
        <w:rPr>
          <w:sz w:val="20"/>
          <w:szCs w:val="20"/>
          <w:color w:val="auto"/>
        </w:rPr>
      </w:pPr>
      <w:r>
        <w:rPr>
          <w:rFonts w:ascii="Arial" w:cs="Arial" w:eastAsia="Arial" w:hAnsi="Arial"/>
          <w:sz w:val="14"/>
          <w:szCs w:val="14"/>
          <w:color w:val="auto"/>
        </w:rPr>
        <w:t>Common stock, $0.00001 par value; 150,000,000 shares authorized, 37,523,533 shares issued and outstanding, actual; 950,000,000 shares authorized, 122,927,466 shares issued and outstanding, pro forma; 950,000,000 shares authorized, 137,427,466 shares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5057775"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57775" cy="240030"/>
                    </a:xfrm>
                    <a:prstGeom prst="rect">
                      <a:avLst/>
                    </a:prstGeom>
                    <a:noFill/>
                  </pic:spPr>
                </pic:pic>
              </a:graphicData>
            </a:graphic>
          </wp:anchor>
        </w:drawing>
      </w:r>
    </w:p>
    <w:p>
      <w:pPr>
        <w:spacing w:after="0" w:line="19" w:lineRule="exact"/>
        <w:rPr>
          <w:sz w:val="20"/>
          <w:szCs w:val="20"/>
          <w:color w:val="auto"/>
        </w:rPr>
      </w:pPr>
    </w:p>
    <w:p>
      <w:pPr>
        <w:ind w:left="540" w:right="620" w:hanging="143"/>
        <w:spacing w:after="0" w:line="258" w:lineRule="auto"/>
        <w:rPr>
          <w:sz w:val="20"/>
          <w:szCs w:val="20"/>
          <w:color w:val="auto"/>
        </w:rPr>
      </w:pPr>
      <w:r>
        <w:rPr>
          <w:rFonts w:ascii="Arial" w:cs="Arial" w:eastAsia="Arial" w:hAnsi="Arial"/>
          <w:sz w:val="14"/>
          <w:szCs w:val="14"/>
          <w:color w:val="auto"/>
        </w:rPr>
        <w:t>Preferred stock, $0.00001 par value; no shares authorized, issued and outstanding, actual; 50,000,000 shares authorized, no shares issued and outstanding, pro forma and pro forma as adjusted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180" w:type="dxa"/>
            <w:vAlign w:val="bottom"/>
            <w:gridSpan w:val="3"/>
            <w:shd w:val="clear" w:color="auto" w:fill="DDDDDD"/>
          </w:tcPr>
          <w:p>
            <w:pPr>
              <w:jc w:val="right"/>
              <w:ind w:right="300"/>
              <w:spacing w:after="0"/>
              <w:rPr>
                <w:sz w:val="20"/>
                <w:szCs w:val="20"/>
                <w:color w:val="auto"/>
              </w:rPr>
            </w:pPr>
            <w:r>
              <w:rPr>
                <w:rFonts w:ascii="Arial" w:cs="Arial" w:eastAsia="Arial" w:hAnsi="Arial"/>
                <w:sz w:val="14"/>
                <w:szCs w:val="14"/>
                <w:color w:val="auto"/>
              </w:rPr>
              <w:t>$ 163,198</w:t>
            </w:r>
          </w:p>
        </w:tc>
        <w:tc>
          <w:tcPr>
            <w:tcW w:w="98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$ 163,198</w:t>
            </w:r>
          </w:p>
        </w:tc>
        <w:tc>
          <w:tcPr>
            <w:tcW w:w="9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   554,683</w:t>
            </w:r>
          </w:p>
        </w:tc>
      </w:tr>
      <w:tr>
        <w:trPr>
          <w:trHeight w:val="20"/>
        </w:trPr>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274,267</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2"/>
        </w:trPr>
        <w:tc>
          <w:tcPr>
            <w:tcW w:w="22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r>
      <w:tr>
        <w:trPr>
          <w:trHeight w:val="534"/>
        </w:trPr>
        <w:tc>
          <w:tcPr>
            <w:tcW w:w="2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r>
      <w:tr>
        <w:trPr>
          <w:trHeight w:val="384"/>
        </w:trPr>
        <w:tc>
          <w:tcPr>
            <w:tcW w:w="220" w:type="dxa"/>
            <w:vAlign w:val="bottom"/>
            <w:shd w:val="clear" w:color="auto" w:fill="DDDDDD"/>
          </w:tcPr>
          <w:p>
            <w:pPr>
              <w:spacing w:after="0"/>
              <w:rPr>
                <w:sz w:val="24"/>
                <w:szCs w:val="24"/>
                <w:color w:val="auto"/>
              </w:rPr>
            </w:pPr>
          </w:p>
        </w:tc>
        <w:tc>
          <w:tcPr>
            <w:tcW w:w="96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r>
      <w:tr>
        <w:trPr>
          <w:trHeight w:val="204"/>
        </w:trPr>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141,112</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415,378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806,550</w:t>
            </w:r>
          </w:p>
        </w:tc>
      </w:tr>
    </w:tbl>
    <w:p>
      <w:pPr>
        <w:spacing w:after="0" w:line="20" w:lineRule="exact"/>
        <w:rPr>
          <w:sz w:val="20"/>
          <w:szCs w:val="20"/>
          <w:color w:val="auto"/>
        </w:rPr>
      </w:pPr>
    </w:p>
    <w:p>
      <w:pPr>
        <w:sectPr>
          <w:pgSz w:w="11900" w:h="16838" w:orient="portrait"/>
          <w:cols w:equalWidth="0" w:num="2">
            <w:col w:w="8040" w:space="40"/>
            <w:col w:w="30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8"/>
        </w:trPr>
        <w:tc>
          <w:tcPr>
            <w:tcW w:w="7960" w:type="dxa"/>
            <w:vAlign w:val="bottom"/>
            <w:shd w:val="clear" w:color="auto" w:fill="DDDDDD"/>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DDDDDD"/>
          </w:tcPr>
          <w:p>
            <w:pPr>
              <w:spacing w:after="0"/>
              <w:rPr>
                <w:sz w:val="18"/>
                <w:szCs w:val="18"/>
                <w:color w:val="auto"/>
              </w:rPr>
            </w:pPr>
          </w:p>
        </w:tc>
        <w:tc>
          <w:tcPr>
            <w:tcW w:w="96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(407,883)</w:t>
            </w:r>
          </w:p>
        </w:tc>
        <w:tc>
          <w:tcPr>
            <w:tcW w:w="9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(407,883)</w:t>
            </w:r>
          </w:p>
        </w:tc>
        <w:tc>
          <w:tcPr>
            <w:tcW w:w="90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(407,883)</w:t>
            </w:r>
          </w:p>
        </w:tc>
      </w:tr>
      <w:tr>
        <w:trPr>
          <w:trHeight w:val="20"/>
        </w:trPr>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96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(266,771)</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7,496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398,668</w:t>
            </w:r>
          </w:p>
        </w:tc>
      </w:tr>
      <w:tr>
        <w:trPr>
          <w:trHeight w:val="20"/>
        </w:trPr>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960" w:type="dxa"/>
            <w:vAlign w:val="bottom"/>
            <w:tcBorders>
              <w:bottom w:val="single" w:sz="8" w:color="DDDDDD"/>
            </w:tcBorders>
            <w:shd w:val="clear" w:color="auto" w:fill="DDDDDD"/>
          </w:tcPr>
          <w:p>
            <w:pPr>
              <w:ind w:left="440"/>
              <w:spacing w:after="0"/>
              <w:rPr>
                <w:sz w:val="20"/>
                <w:szCs w:val="20"/>
                <w:color w:val="auto"/>
              </w:rPr>
            </w:pPr>
            <w:r>
              <w:rPr>
                <w:rFonts w:ascii="Arial" w:cs="Arial" w:eastAsia="Arial" w:hAnsi="Arial"/>
                <w:sz w:val="14"/>
                <w:szCs w:val="14"/>
                <w:color w:val="auto"/>
              </w:rPr>
              <w:t>Total capitalization</w:t>
            </w:r>
          </w:p>
        </w:tc>
        <w:tc>
          <w:tcPr>
            <w:tcW w:w="1180" w:type="dxa"/>
            <w:vAlign w:val="bottom"/>
            <w:tcBorders>
              <w:bottom w:val="single" w:sz="8" w:color="DDDDDD"/>
            </w:tcBorders>
            <w:gridSpan w:val="3"/>
            <w:shd w:val="clear" w:color="auto" w:fill="DDDDDD"/>
          </w:tcPr>
          <w:p>
            <w:pPr>
              <w:jc w:val="right"/>
              <w:ind w:right="300"/>
              <w:spacing w:after="0"/>
              <w:rPr>
                <w:sz w:val="20"/>
                <w:szCs w:val="20"/>
                <w:color w:val="auto"/>
              </w:rPr>
            </w:pPr>
            <w:r>
              <w:rPr>
                <w:rFonts w:ascii="Arial" w:cs="Arial" w:eastAsia="Arial" w:hAnsi="Arial"/>
                <w:sz w:val="14"/>
                <w:szCs w:val="14"/>
                <w:color w:val="auto"/>
              </w:rPr>
              <w:t>$   7,496</w:t>
            </w:r>
          </w:p>
        </w:tc>
        <w:tc>
          <w:tcPr>
            <w:tcW w:w="980" w:type="dxa"/>
            <w:vAlign w:val="bottom"/>
            <w:tcBorders>
              <w:bottom w:val="single" w:sz="8" w:color="DDDDDD"/>
            </w:tcBorders>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   7,496</w:t>
            </w:r>
          </w:p>
        </w:tc>
        <w:tc>
          <w:tcPr>
            <w:tcW w:w="9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   398,668</w:t>
            </w:r>
          </w:p>
        </w:tc>
      </w:tr>
      <w:tr>
        <w:trPr>
          <w:trHeight w:val="20"/>
        </w:trPr>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If the underwriters’ option to purchase additional shares is exercised in full, our pro forma as adjusted cash and cash equivalents, additional paid -in capital, total stockholders’ (deficit) equity, and total capitalization as of June 30, 2021, would be $614.3 million, $866.2 million, $458.3 million, and $458.3 million, respectively.</w:t>
      </w:r>
    </w:p>
    <w:p>
      <w:pPr>
        <w:spacing w:after="0" w:line="20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122,927,466 shares of our common stock outstanding as of June 30, 2021, and excludes:</w:t>
      </w:r>
    </w:p>
    <w:p>
      <w:pPr>
        <w:spacing w:after="0" w:line="102" w:lineRule="exact"/>
        <w:rPr>
          <w:sz w:val="20"/>
          <w:szCs w:val="20"/>
          <w:color w:val="auto"/>
        </w:rPr>
      </w:pPr>
    </w:p>
    <w:p>
      <w:pPr>
        <w:ind w:left="660" w:right="80" w:hanging="22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20,173,022 shares of common stock issuable upon the exercise of stock options outstanding as of June 30, 2021 with a weighted-average exercise price of $7.39 per share, which excludes 103,663 stock appreciation rights outstanding that will be settled in cash upon exercise;</w:t>
      </w:r>
    </w:p>
    <w:p>
      <w:pPr>
        <w:spacing w:after="0" w:line="108" w:lineRule="exact"/>
        <w:rPr>
          <w:rFonts w:ascii="Arial" w:cs="Arial" w:eastAsia="Arial" w:hAnsi="Arial"/>
          <w:sz w:val="18"/>
          <w:szCs w:val="18"/>
          <w:color w:val="auto"/>
        </w:rPr>
      </w:pPr>
    </w:p>
    <w:p>
      <w:pPr>
        <w:ind w:left="660" w:right="440" w:hanging="220"/>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772,900 shares of common stock reserved for future issuance under our 2010 Equity Incentive Plan, as amended, or our 2010 Plan, as of June 30, 2021, and an additional 850,000 shares of common stock</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40"/>
          </w:cols>
          <w:pgMar w:left="32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reserved for future issuance under our 2010 Plan after June 30, 2021, provided that we ceased granting awards under our 2010 Plan upon the effectiveness of our 2021 Equity Incentive Plan, or our 2021 Plan;</w:t>
      </w:r>
    </w:p>
    <w:p>
      <w:pPr>
        <w:spacing w:after="0" w:line="102" w:lineRule="exact"/>
        <w:rPr>
          <w:sz w:val="20"/>
          <w:szCs w:val="20"/>
          <w:color w:val="auto"/>
        </w:rPr>
      </w:pPr>
    </w:p>
    <w:p>
      <w:pPr>
        <w:ind w:left="660" w:right="180" w:hanging="220"/>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13,800,000 shares of common stock reserved for future issuance under our 2021 Plan, which became effective in connection with this offering;</w:t>
      </w:r>
    </w:p>
    <w:p>
      <w:pPr>
        <w:spacing w:after="0" w:line="102" w:lineRule="exact"/>
        <w:rPr>
          <w:rFonts w:ascii="Arial" w:cs="Arial" w:eastAsia="Arial" w:hAnsi="Arial"/>
          <w:sz w:val="18"/>
          <w:szCs w:val="18"/>
          <w:color w:val="auto"/>
        </w:rPr>
      </w:pPr>
    </w:p>
    <w:p>
      <w:pPr>
        <w:ind w:left="660" w:right="540" w:hanging="220"/>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2,800,000 shares of common stock reserved for future issuance under our 2021 Employee Stock Purchase Plan, or our 2021 ESPP, which became effective in connection with this offering;</w:t>
      </w:r>
    </w:p>
    <w:p>
      <w:pPr>
        <w:spacing w:after="0" w:line="102" w:lineRule="exact"/>
        <w:rPr>
          <w:rFonts w:ascii="Arial" w:cs="Arial" w:eastAsia="Arial" w:hAnsi="Arial"/>
          <w:sz w:val="18"/>
          <w:szCs w:val="18"/>
          <w:color w:val="auto"/>
        </w:rPr>
      </w:pPr>
    </w:p>
    <w:p>
      <w:pPr>
        <w:ind w:left="660" w:right="80" w:hanging="220"/>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61,300 shares of common stock issued by us in August 2021 to a former stockholder of CorpU in connection with our acquisition of CorpU;</w:t>
      </w:r>
    </w:p>
    <w:p>
      <w:pPr>
        <w:spacing w:after="0" w:line="102" w:lineRule="exact"/>
        <w:rPr>
          <w:rFonts w:ascii="Arial" w:cs="Arial" w:eastAsia="Arial" w:hAnsi="Arial"/>
          <w:sz w:val="18"/>
          <w:szCs w:val="18"/>
          <w:color w:val="auto"/>
        </w:rPr>
      </w:pPr>
    </w:p>
    <w:p>
      <w:pPr>
        <w:ind w:left="660" w:right="180" w:hanging="220"/>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1,773,605 stock options to purchase shares of common stock granted after June 30, 2021 with a weighted-average exercise price of $34.14 per share; and</w:t>
      </w:r>
    </w:p>
    <w:p>
      <w:pPr>
        <w:spacing w:after="0" w:line="102" w:lineRule="exact"/>
        <w:rPr>
          <w:rFonts w:ascii="Arial" w:cs="Arial" w:eastAsia="Arial" w:hAnsi="Arial"/>
          <w:sz w:val="18"/>
          <w:szCs w:val="18"/>
          <w:color w:val="auto"/>
        </w:rPr>
      </w:pPr>
    </w:p>
    <w:p>
      <w:pPr>
        <w:ind w:left="660" w:right="180" w:hanging="220"/>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782,746 shares of common stock issued upon the exercise of stock options after June 30, 2021 with a weighted-average exercise price of $4.31 per share.</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2021 Plan and our 2021 ESPP each provide for annual automatic increases in the number of shares reserved thereunder, and our 2021 Plan also provides for increases to the number of shares that may be granted thereunder based on awards under our 2010 Plan that expire, are forfeited, or otherwise repurchased by us, as more fully described in “Executive compensation—Employee benefit and stock plans.”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Dilution</w:t>
      </w:r>
    </w:p>
    <w:p>
      <w:pPr>
        <w:spacing w:after="0" w:line="14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203"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Our historical net tangible book value (deficit) as of June 30, 2021 was $(320.9) million, or $(8.55) per share of our common stock. Our historical net tangible book value (deficit) is the amount of our total tangible assets less our total liabilities and redeemable convertible preferred stock, which is not included within our stockholders’ (deficit) equity. Historical net tangible book value (deficit) per share represents historical net tangible book value (deficit) divided by the number of shares of our common stock outstanding as of June 30, 2021.</w:t>
      </w:r>
    </w:p>
    <w:p>
      <w:pPr>
        <w:spacing w:after="0" w:line="20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pro forma net tangible book value (deficit) as of June 30, 2021 was $ (46.6) million, or $(0.38) per share of our common stock. Pro forma net tangible book value represents the amount of our total tangible assets less our total liabilities. Pro forma net tangible book value per share represents pro forma net tangible book value divided by the total number of shares outstanding as of June 30, 2021, after giving effect to the automatic conversion of all outstanding shares of our redeemable convertible preferred stock as of June 30, 2021 into an aggregate of 85,403,933 shares of our common stock immediately prior to the completion of this offering as if such conversion had occurred on June 30, 2021.</w:t>
      </w:r>
    </w:p>
    <w:p>
      <w:pPr>
        <w:spacing w:after="0" w:line="205"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7"/>
          <w:szCs w:val="17"/>
          <w:color w:val="auto"/>
        </w:rPr>
        <w:t>After giving further effect to our sale of 14,500,000 shares of common stock in this offering at the initial public offering price of $29.00 per share, and after deducting the underwriting discounts and commissions and estimated offering expenses payable by us, our pro forma as adjusted net tangible book value as of June 30, 2021 would have been approximately $346.8 million, or approximately $2.52 per share.</w:t>
      </w:r>
    </w:p>
    <w:p>
      <w:pPr>
        <w:spacing w:after="0" w:line="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This represents an immediate increase in pro forma net tangible book value per share of approximately $2.90 to our existing stockholders and an immediate dilution in pro forma net tangible book value per share of approximately $26.48 to investors purchasing shares of common stock in this offering.</w:t>
      </w:r>
    </w:p>
    <w:p>
      <w:pPr>
        <w:spacing w:after="0" w:line="20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Dilution per share to investors purchasing shares of common stock in this offering is determined by subtracting pro forma as adjusted net tangible book value per share after this offering from the initial public offering price per share paid by investors purchasing shares of common stock in this offering.</w:t>
      </w:r>
    </w:p>
    <w:p>
      <w:pPr>
        <w:spacing w:after="0" w:line="20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following table illustrates this dilution on a per share basis to new investors (without giving effect to any exercise by the underwriters of their option to purchase additional shares):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140" w:type="dxa"/>
            <w:vAlign w:val="bottom"/>
            <w:shd w:val="clear" w:color="auto" w:fill="DDDDDD"/>
          </w:tcPr>
          <w:p>
            <w:pPr>
              <w:spacing w:after="0"/>
              <w:rPr>
                <w:sz w:val="20"/>
                <w:szCs w:val="20"/>
                <w:color w:val="auto"/>
              </w:rPr>
            </w:pPr>
            <w:r>
              <w:rPr>
                <w:rFonts w:ascii="Arial" w:cs="Arial" w:eastAsia="Arial" w:hAnsi="Arial"/>
                <w:sz w:val="14"/>
                <w:szCs w:val="14"/>
                <w:color w:val="auto"/>
              </w:rPr>
              <w:t>Initial public offering price per share</w:t>
            </w:r>
          </w:p>
        </w:tc>
        <w:tc>
          <w:tcPr>
            <w:tcW w:w="22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29.00</w:t>
            </w:r>
          </w:p>
        </w:tc>
      </w:tr>
      <w:tr>
        <w:trPr>
          <w:trHeight w:val="183"/>
        </w:trPr>
        <w:tc>
          <w:tcPr>
            <w:tcW w:w="9140" w:type="dxa"/>
            <w:vAlign w:val="bottom"/>
          </w:tcPr>
          <w:p>
            <w:pPr>
              <w:ind w:left="260"/>
              <w:spacing w:after="0"/>
              <w:rPr>
                <w:sz w:val="20"/>
                <w:szCs w:val="20"/>
                <w:color w:val="auto"/>
              </w:rPr>
            </w:pPr>
            <w:r>
              <w:rPr>
                <w:rFonts w:ascii="Arial" w:cs="Arial" w:eastAsia="Arial" w:hAnsi="Arial"/>
                <w:sz w:val="14"/>
                <w:szCs w:val="14"/>
                <w:color w:val="auto"/>
              </w:rPr>
              <w:t>Historical net tangible book value (deficit) per share as of June 30, 2021</w:t>
            </w:r>
          </w:p>
        </w:tc>
        <w:tc>
          <w:tcPr>
            <w:tcW w:w="5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(8.55)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91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Pro forma increase in net tangible book value per share as of June 30, 2021</w:t>
            </w:r>
          </w:p>
        </w:tc>
        <w:tc>
          <w:tcPr>
            <w:tcW w:w="22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8.17</w:t>
            </w:r>
          </w:p>
        </w:tc>
        <w:tc>
          <w:tcPr>
            <w:tcW w:w="300" w:type="dxa"/>
            <w:vAlign w:val="bottom"/>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r>
      <w:tr>
        <w:trPr>
          <w:trHeight w:val="196"/>
        </w:trPr>
        <w:tc>
          <w:tcPr>
            <w:tcW w:w="9140" w:type="dxa"/>
            <w:vAlign w:val="bottom"/>
          </w:tcPr>
          <w:p>
            <w:pPr>
              <w:ind w:left="260"/>
              <w:spacing w:after="0"/>
              <w:rPr>
                <w:sz w:val="20"/>
                <w:szCs w:val="20"/>
                <w:color w:val="auto"/>
              </w:rPr>
            </w:pPr>
            <w:r>
              <w:rPr>
                <w:rFonts w:ascii="Arial" w:cs="Arial" w:eastAsia="Arial" w:hAnsi="Arial"/>
                <w:sz w:val="14"/>
                <w:szCs w:val="14"/>
                <w:color w:val="auto"/>
              </w:rPr>
              <w:t>Pro forma net tangible book value per share as of June 30, 2021</w:t>
            </w:r>
          </w:p>
        </w:tc>
        <w:tc>
          <w:tcPr>
            <w:tcW w:w="5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(0.38)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91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Increase in pro forma net tangible book value per share attributable</w:t>
            </w:r>
          </w:p>
        </w:tc>
        <w:tc>
          <w:tcPr>
            <w:tcW w:w="2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r>
      <w:tr>
        <w:trPr>
          <w:trHeight w:val="192"/>
        </w:trPr>
        <w:tc>
          <w:tcPr>
            <w:tcW w:w="9140" w:type="dxa"/>
            <w:vAlign w:val="bottom"/>
            <w:shd w:val="clear" w:color="auto" w:fill="DDDDDD"/>
          </w:tcPr>
          <w:p>
            <w:pPr>
              <w:ind w:left="360"/>
              <w:spacing w:after="0"/>
              <w:rPr>
                <w:sz w:val="20"/>
                <w:szCs w:val="20"/>
                <w:color w:val="auto"/>
              </w:rPr>
            </w:pPr>
            <w:r>
              <w:rPr>
                <w:rFonts w:ascii="Arial" w:cs="Arial" w:eastAsia="Arial" w:hAnsi="Arial"/>
                <w:sz w:val="14"/>
                <w:szCs w:val="14"/>
                <w:color w:val="auto"/>
              </w:rPr>
              <w:t>to investors purchasing shares of common stock in this offering</w:t>
            </w:r>
          </w:p>
        </w:tc>
        <w:tc>
          <w:tcPr>
            <w:tcW w:w="22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2.90</w:t>
            </w:r>
          </w:p>
        </w:tc>
        <w:tc>
          <w:tcPr>
            <w:tcW w:w="300" w:type="dxa"/>
            <w:vAlign w:val="bottom"/>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380" w:type="dxa"/>
            <w:vAlign w:val="bottom"/>
            <w:tcBorders>
              <w:bottom w:val="single" w:sz="8" w:color="auto"/>
            </w:tcBorders>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4"/>
                <w:szCs w:val="14"/>
                <w:color w:val="auto"/>
              </w:rPr>
              <w:t>Pro forma as adjusted net tangible book value per share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2.52</w:t>
            </w:r>
          </w:p>
        </w:tc>
      </w:tr>
      <w:tr>
        <w:trPr>
          <w:trHeight w:val="222"/>
        </w:trPr>
        <w:tc>
          <w:tcPr>
            <w:tcW w:w="9140" w:type="dxa"/>
            <w:vAlign w:val="bottom"/>
            <w:shd w:val="clear" w:color="auto" w:fill="DDDDDD"/>
          </w:tcPr>
          <w:p>
            <w:pPr>
              <w:spacing w:after="0"/>
              <w:rPr>
                <w:sz w:val="20"/>
                <w:szCs w:val="20"/>
                <w:color w:val="auto"/>
              </w:rPr>
            </w:pPr>
            <w:r>
              <w:rPr>
                <w:rFonts w:ascii="Arial" w:cs="Arial" w:eastAsia="Arial" w:hAnsi="Arial"/>
                <w:sz w:val="14"/>
                <w:szCs w:val="14"/>
                <w:color w:val="auto"/>
              </w:rPr>
              <w:t>Dilution per share to investors participating in this offering</w:t>
            </w:r>
          </w:p>
        </w:tc>
        <w:tc>
          <w:tcPr>
            <w:tcW w:w="2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9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26.48</w:t>
            </w:r>
          </w:p>
        </w:tc>
      </w:tr>
    </w:tbl>
    <w:p>
      <w:pPr>
        <w:spacing w:after="0" w:line="21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the underwriters exercise their option to purchase 2,175,000 additional shares of common stock in this offering in full at the initial public offering price of $29.00 per share, and after deducting the underwriting discounts and commissions and estimated offering expenses payable by us, the pro forma as adjusted net tangible book value per share after this offering would be approximately $2.91 per share, and the dilution per share to investors purchasing shares of common stock in this offering would be approximately $26.09 per share.</w:t>
      </w:r>
    </w:p>
    <w:p>
      <w:pPr>
        <w:spacing w:after="0" w:line="205"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The following table summarizes, on the pro forma as adjusted basis described above, as of June 30, 2021, the number of shares of common stock purchased from us, the total consideration paid, or to be paid, and the weighted-average price per share paid, or to be paid, by existing stockholders and by investors purchasing shares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60"/>
        <w:spacing w:after="0" w:line="246" w:lineRule="auto"/>
        <w:rPr>
          <w:sz w:val="20"/>
          <w:szCs w:val="20"/>
          <w:color w:val="auto"/>
        </w:rPr>
      </w:pPr>
      <w:r>
        <w:rPr>
          <w:rFonts w:ascii="Arial" w:cs="Arial" w:eastAsia="Arial" w:hAnsi="Arial"/>
          <w:sz w:val="18"/>
          <w:szCs w:val="18"/>
          <w:color w:val="auto"/>
        </w:rPr>
        <w:t>in this offering at the initial public offering price of $29.00 per share, before deducting the estimated underwriting discounts and commissions and estimated offering expenses payable by us.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(dollar amounts in thousands, except per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 amounts)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 purchased</w:t>
            </w: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940" w:type="dxa"/>
            <w:vAlign w:val="bottom"/>
          </w:tcPr>
          <w:p>
            <w:pPr>
              <w:jc w:val="center"/>
              <w:ind w:lef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vMerge w:val="restart"/>
          </w:tcPr>
          <w:p>
            <w:pPr>
              <w:jc w:val="center"/>
              <w:ind w:left="18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Percent</w:t>
            </w:r>
          </w:p>
        </w:tc>
        <w:tc>
          <w:tcPr>
            <w:tcW w:w="940" w:type="dxa"/>
            <w:vAlign w:val="bottom"/>
          </w:tcPr>
          <w:p>
            <w:pPr>
              <w:jc w:val="center"/>
              <w:ind w:left="188"/>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87"/>
        </w:trPr>
        <w:tc>
          <w:tcPr>
            <w:tcW w:w="9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940" w:type="dxa"/>
            <w:vAlign w:val="bottom"/>
          </w:tcPr>
          <w:p>
            <w:pPr>
              <w:jc w:val="center"/>
              <w:ind w:lef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820" w:space="720"/>
            <w:col w:w="46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98"/>
        </w:trPr>
        <w:tc>
          <w:tcPr>
            <w:tcW w:w="6200" w:type="dxa"/>
            <w:vAlign w:val="bottom"/>
            <w:tcBorders>
              <w:top w:val="single" w:sz="8" w:color="auto"/>
            </w:tcBorders>
            <w:shd w:val="clear" w:color="auto" w:fill="DDDDDD"/>
          </w:tcPr>
          <w:p>
            <w:pPr>
              <w:spacing w:after="0"/>
              <w:rPr>
                <w:sz w:val="20"/>
                <w:szCs w:val="20"/>
                <w:color w:val="auto"/>
              </w:rPr>
            </w:pPr>
            <w:r>
              <w:rPr>
                <w:rFonts w:ascii="Arial" w:cs="Arial" w:eastAsia="Arial" w:hAnsi="Arial"/>
                <w:sz w:val="14"/>
                <w:szCs w:val="14"/>
                <w:color w:val="auto"/>
              </w:rPr>
              <w:t>Existing stockholders before this offering</w:t>
            </w:r>
          </w:p>
        </w:tc>
        <w:tc>
          <w:tcPr>
            <w:tcW w:w="1320" w:type="dxa"/>
            <w:vAlign w:val="bottom"/>
            <w:tcBorders>
              <w:top w:val="single" w:sz="8" w:color="auto"/>
            </w:tcBorders>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122,927,466</w:t>
            </w:r>
          </w:p>
        </w:tc>
        <w:tc>
          <w:tcPr>
            <w:tcW w:w="680" w:type="dxa"/>
            <w:vAlign w:val="bottom"/>
            <w:tcBorders>
              <w:top w:val="single" w:sz="8" w:color="auto"/>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89.4%</w:t>
            </w:r>
          </w:p>
        </w:tc>
        <w:tc>
          <w:tcPr>
            <w:tcW w:w="1280" w:type="dxa"/>
            <w:vAlign w:val="bottom"/>
            <w:tcBorders>
              <w:top w:val="single" w:sz="8" w:color="auto"/>
            </w:tcBorders>
            <w:gridSpan w:val="3"/>
            <w:shd w:val="clear" w:color="auto" w:fill="DDDDDD"/>
          </w:tcPr>
          <w:p>
            <w:pPr>
              <w:jc w:val="right"/>
              <w:ind w:right="260"/>
              <w:spacing w:after="0"/>
              <w:rPr>
                <w:sz w:val="20"/>
                <w:szCs w:val="20"/>
                <w:color w:val="auto"/>
              </w:rPr>
            </w:pPr>
            <w:r>
              <w:rPr>
                <w:rFonts w:ascii="Arial" w:cs="Arial" w:eastAsia="Arial" w:hAnsi="Arial"/>
                <w:sz w:val="14"/>
                <w:szCs w:val="14"/>
                <w:color w:val="auto"/>
              </w:rPr>
              <w:t>$309,645,203</w:t>
            </w:r>
          </w:p>
        </w:tc>
        <w:tc>
          <w:tcPr>
            <w:tcW w:w="660" w:type="dxa"/>
            <w:vAlign w:val="bottom"/>
            <w:tcBorders>
              <w:top w:val="single" w:sz="8" w:color="auto"/>
            </w:tcBorders>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42.4%</w:t>
            </w:r>
          </w:p>
        </w:tc>
        <w:tc>
          <w:tcPr>
            <w:tcW w:w="340" w:type="dxa"/>
            <w:vAlign w:val="bottom"/>
            <w:tcBorders>
              <w:top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2.52</w:t>
            </w:r>
          </w:p>
        </w:tc>
      </w:tr>
      <w:tr>
        <w:trPr>
          <w:trHeight w:val="210"/>
        </w:trPr>
        <w:tc>
          <w:tcPr>
            <w:tcW w:w="6200" w:type="dxa"/>
            <w:vAlign w:val="bottom"/>
          </w:tcPr>
          <w:p>
            <w:pPr>
              <w:spacing w:after="0"/>
              <w:rPr>
                <w:sz w:val="20"/>
                <w:szCs w:val="20"/>
                <w:color w:val="auto"/>
              </w:rPr>
            </w:pPr>
            <w:r>
              <w:rPr>
                <w:rFonts w:ascii="Arial" w:cs="Arial" w:eastAsia="Arial" w:hAnsi="Arial"/>
                <w:sz w:val="14"/>
                <w:szCs w:val="14"/>
                <w:color w:val="auto"/>
              </w:rPr>
              <w:t>Investors purchasing shares in this offering</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14,500,000</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420,500,000</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57.6%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29.00</w:t>
            </w: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6200" w:type="dxa"/>
            <w:vAlign w:val="bottom"/>
            <w:shd w:val="clear" w:color="auto" w:fill="DDDDDD"/>
          </w:tcPr>
          <w:p>
            <w:pPr>
              <w:ind w:left="260"/>
              <w:spacing w:after="0"/>
              <w:rPr>
                <w:sz w:val="20"/>
                <w:szCs w:val="20"/>
                <w:color w:val="auto"/>
              </w:rPr>
            </w:pPr>
            <w:r>
              <w:rPr>
                <w:rFonts w:ascii="Arial" w:cs="Arial" w:eastAsia="Arial" w:hAnsi="Arial"/>
                <w:sz w:val="14"/>
                <w:szCs w:val="14"/>
                <w:color w:val="auto"/>
              </w:rPr>
              <w:t>Total</w:t>
            </w:r>
          </w:p>
        </w:tc>
        <w:tc>
          <w:tcPr>
            <w:tcW w:w="132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137,427,466</w:t>
            </w:r>
          </w:p>
        </w:tc>
        <w:tc>
          <w:tcPr>
            <w:tcW w:w="6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100%</w:t>
            </w:r>
          </w:p>
        </w:tc>
        <w:tc>
          <w:tcPr>
            <w:tcW w:w="1280" w:type="dxa"/>
            <w:vAlign w:val="bottom"/>
            <w:gridSpan w:val="3"/>
            <w:shd w:val="clear" w:color="auto" w:fill="DDDDDD"/>
          </w:tcPr>
          <w:p>
            <w:pPr>
              <w:jc w:val="right"/>
              <w:ind w:right="260"/>
              <w:spacing w:after="0"/>
              <w:rPr>
                <w:sz w:val="20"/>
                <w:szCs w:val="20"/>
                <w:color w:val="auto"/>
              </w:rPr>
            </w:pPr>
            <w:r>
              <w:rPr>
                <w:rFonts w:ascii="Arial" w:cs="Arial" w:eastAsia="Arial" w:hAnsi="Arial"/>
                <w:sz w:val="14"/>
                <w:szCs w:val="14"/>
                <w:color w:val="auto"/>
              </w:rPr>
              <w:t>$730,145,203</w:t>
            </w:r>
          </w:p>
        </w:tc>
        <w:tc>
          <w:tcPr>
            <w:tcW w:w="66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3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5.31</w:t>
            </w: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table above assumes no exercise of the underwriters’ option to purchase 2,175,000 additional shares in this offering. If the underwriters’ option to purchase additional shares is exercised in full, the number of shares of our common stock held by existing stockholders would be reduced to 88.1% of the total number of shares of our common stock outstanding after this offering, and the number of shares of common stock held by investors purchasing shares of common stock in the offering would be increased to 11.9% of the total number of shares outstanding after this offering.</w:t>
      </w:r>
    </w:p>
    <w:p>
      <w:pPr>
        <w:spacing w:after="0" w:line="202"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122,927,466 shares of our common stock outstanding as of June 30, 2021, and excludes:</w:t>
      </w:r>
    </w:p>
    <w:p>
      <w:pPr>
        <w:spacing w:after="0" w:line="102" w:lineRule="exact"/>
        <w:rPr>
          <w:sz w:val="20"/>
          <w:szCs w:val="20"/>
          <w:color w:val="auto"/>
        </w:rPr>
      </w:pPr>
    </w:p>
    <w:p>
      <w:pPr>
        <w:ind w:left="660" w:right="80" w:hanging="220"/>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20,173,022 shares of common stock issuable upon the exercise of stock options outstanding as of June 30, 2021 with a weighted-average exercise price of $7.39 per share, which excludes 103,663 stock appreciation rights outstanding that will be settled in cash upon exercise;</w:t>
      </w:r>
    </w:p>
    <w:p>
      <w:pPr>
        <w:spacing w:after="0" w:line="108" w:lineRule="exact"/>
        <w:rPr>
          <w:rFonts w:ascii="Arial" w:cs="Arial" w:eastAsia="Arial" w:hAnsi="Arial"/>
          <w:sz w:val="18"/>
          <w:szCs w:val="18"/>
          <w:color w:val="auto"/>
        </w:rPr>
      </w:pPr>
    </w:p>
    <w:p>
      <w:pPr>
        <w:ind w:left="660" w:right="80" w:hanging="220"/>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772,900 shares of common stock reserved for future issuance under our 2010 Plan as of June 30, 2021, and an additional 850,000 shares of common stock reserved for future issuance under our 2010 Plan after June 30, 2021, provided that we ceased granting awards under our 2010 Plan upon the effectiveness of our 2021 Plan;</w:t>
      </w:r>
    </w:p>
    <w:p>
      <w:pPr>
        <w:spacing w:after="0" w:line="108" w:lineRule="exact"/>
        <w:rPr>
          <w:rFonts w:ascii="Arial" w:cs="Arial" w:eastAsia="Arial" w:hAnsi="Arial"/>
          <w:sz w:val="18"/>
          <w:szCs w:val="18"/>
          <w:color w:val="auto"/>
        </w:rPr>
      </w:pPr>
    </w:p>
    <w:p>
      <w:pPr>
        <w:ind w:left="660" w:right="180" w:hanging="220"/>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13,800,000 shares of common stock reserved for future issuance under our 2021 Plan, which became effective in connection with this offering;</w:t>
      </w:r>
    </w:p>
    <w:p>
      <w:pPr>
        <w:spacing w:after="0" w:line="102" w:lineRule="exact"/>
        <w:rPr>
          <w:rFonts w:ascii="Arial" w:cs="Arial" w:eastAsia="Arial" w:hAnsi="Arial"/>
          <w:sz w:val="18"/>
          <w:szCs w:val="18"/>
          <w:color w:val="auto"/>
        </w:rPr>
      </w:pPr>
    </w:p>
    <w:p>
      <w:pPr>
        <w:ind w:left="660" w:right="180" w:hanging="220"/>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2,800,000 shares of common stock reserved for future issuance under our 2021 ESPP, which became effective in connection with this offering;</w:t>
      </w:r>
    </w:p>
    <w:p>
      <w:pPr>
        <w:spacing w:after="0" w:line="102" w:lineRule="exact"/>
        <w:rPr>
          <w:rFonts w:ascii="Arial" w:cs="Arial" w:eastAsia="Arial" w:hAnsi="Arial"/>
          <w:sz w:val="18"/>
          <w:szCs w:val="18"/>
          <w:color w:val="auto"/>
        </w:rPr>
      </w:pPr>
    </w:p>
    <w:p>
      <w:pPr>
        <w:ind w:left="660" w:right="80" w:hanging="220"/>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61,300 shares of common stock issued by us in August 2021 to a former stockholder of CorpU in connection with our acquisition of CorpU;</w:t>
      </w:r>
    </w:p>
    <w:p>
      <w:pPr>
        <w:spacing w:after="0" w:line="102" w:lineRule="exact"/>
        <w:rPr>
          <w:rFonts w:ascii="Arial" w:cs="Arial" w:eastAsia="Arial" w:hAnsi="Arial"/>
          <w:sz w:val="18"/>
          <w:szCs w:val="18"/>
          <w:color w:val="auto"/>
        </w:rPr>
      </w:pPr>
    </w:p>
    <w:p>
      <w:pPr>
        <w:ind w:left="660" w:right="180" w:hanging="220"/>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1,773,605 stock options to purchase shares of common stock granted after June 30, 2021 with a weighted-average exercise price of $34.14 per share; and</w:t>
      </w:r>
    </w:p>
    <w:p>
      <w:pPr>
        <w:spacing w:after="0" w:line="102" w:lineRule="exact"/>
        <w:rPr>
          <w:rFonts w:ascii="Arial" w:cs="Arial" w:eastAsia="Arial" w:hAnsi="Arial"/>
          <w:sz w:val="18"/>
          <w:szCs w:val="18"/>
          <w:color w:val="auto"/>
        </w:rPr>
      </w:pPr>
    </w:p>
    <w:p>
      <w:pPr>
        <w:ind w:left="660" w:right="240" w:hanging="220"/>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782,746 shares of common stock issued upon the exercise of stock options after June 30, 2021 with a weighted-exercise price of $4.31 per share.</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2021 Plan and our 2021 ESPP each provide for annual automatic increases in the number of shares reserved thereunder, and our 2021 Plan also provides for increases to the number of shares that may be granted thereunder based on awards under our 2010 Plan that expire, are forfeited, or otherwise repurchased by us, as more fully described in “Executive compensation—Employee benefit and stock plans.”</w:t>
      </w:r>
    </w:p>
    <w:p>
      <w:pPr>
        <w:spacing w:after="0" w:line="205"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Selected consolidated financial and other data</w:t>
      </w:r>
    </w:p>
    <w:p>
      <w:pPr>
        <w:spacing w:after="0" w:line="14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following tables summarize our selected consolidated financial and other data for the periods and as of the dates indicated. We have derived our selected consolidated statements of operations data for the years ended December 31, 2019 and 2020, and the consolidated balance sheet data as of December 31, 2019 and 2020, from our audited consolidated financial statements appearing elsewhere in this prospectus. The selected consolidated statements of operations data for the six months ended June 30, 2020 and 2021, and the selected consolidated balance sheet data as of June 30, 2021, are derived from our unaudited interim consolidated financial statements included elsewhere in this prospectus. We have prepared the unaudited interim consolidated financial statements on a basis substantially consistent with our audited consolidated financial statements as of and for the years ended December 31, 2019 and 2020, and the unaudited interim consolidated financial statements include all normal recurring adjustments necessary for a fair statement of the financial information set forth in those unaudited interim consolidated financial statements. You should read the following selected consolidated financial and other data together with our audited consolidated financial statements and unaudited interim consolidated financial statements and the related notes appearing elsewhere in this prospectus and the information in “Management’s discussion and analysis of financial condition and results of operations.” Our historical and interim results are not necessarily indicative of the results to be expected for the full year or any other period in the future.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gridSpan w:val="6"/>
          </w:tcPr>
          <w:p>
            <w:pPr>
              <w:jc w:val="center"/>
              <w:ind w:right="580"/>
              <w:spacing w:after="0" w:line="156" w:lineRule="exact"/>
              <w:rPr>
                <w:sz w:val="20"/>
                <w:szCs w:val="20"/>
                <w:color w:val="auto"/>
              </w:rPr>
            </w:pPr>
            <w:r>
              <w:rPr>
                <w:rFonts w:ascii="Arial" w:cs="Arial" w:eastAsia="Arial" w:hAnsi="Arial"/>
                <w:sz w:val="14"/>
                <w:szCs w:val="14"/>
                <w:b w:val="1"/>
                <w:bCs w:val="1"/>
                <w:color w:val="auto"/>
              </w:rPr>
              <w:t>(in thousands, except share and</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40" w:type="dxa"/>
            <w:vAlign w:val="bottom"/>
            <w:gridSpan w:val="6"/>
          </w:tcPr>
          <w:p>
            <w:pPr>
              <w:jc w:val="right"/>
              <w:ind w:right="740"/>
              <w:spacing w:after="0" w:line="156" w:lineRule="exact"/>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rPr>
              <w:t>per share amounts)</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per share amounts)</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56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4"/>
                <w:szCs w:val="14"/>
                <w:color w:val="auto"/>
              </w:rPr>
              <w:t>Revenues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276,327</w:t>
            </w: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429,899</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201,368</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250,643</w:t>
            </w:r>
          </w:p>
        </w:tc>
        <w:tc>
          <w:tcPr>
            <w:tcW w:w="0" w:type="dxa"/>
            <w:vAlign w:val="bottom"/>
          </w:tcPr>
          <w:p>
            <w:pPr>
              <w:spacing w:after="0"/>
              <w:rPr>
                <w:sz w:val="1"/>
                <w:szCs w:val="1"/>
                <w:color w:val="auto"/>
              </w:rPr>
            </w:pPr>
          </w:p>
        </w:tc>
      </w:tr>
      <w:tr>
        <w:trPr>
          <w:trHeight w:val="222"/>
        </w:trPr>
        <w:tc>
          <w:tcPr>
            <w:tcW w:w="3420" w:type="dxa"/>
            <w:vAlign w:val="bottom"/>
            <w:shd w:val="clear" w:color="auto" w:fill="DDDDDD"/>
          </w:tcPr>
          <w:p>
            <w:pPr>
              <w:spacing w:after="0" w:line="222" w:lineRule="exact"/>
              <w:rPr>
                <w:sz w:val="20"/>
                <w:szCs w:val="20"/>
                <w:color w:val="auto"/>
              </w:rPr>
            </w:pPr>
            <w:r>
              <w:rPr>
                <w:rFonts w:ascii="Arial" w:cs="Arial" w:eastAsia="Arial" w:hAnsi="Arial"/>
                <w:sz w:val="14"/>
                <w:szCs w:val="14"/>
                <w:color w:val="auto"/>
              </w:rPr>
              <w:t>Cost of revenues</w:t>
            </w:r>
            <w:r>
              <w:rPr>
                <w:rFonts w:ascii="Arial" w:cs="Arial" w:eastAsia="Arial" w:hAnsi="Arial"/>
                <w:sz w:val="24"/>
                <w:szCs w:val="24"/>
                <w:color w:val="auto"/>
                <w:vertAlign w:val="superscript"/>
              </w:rPr>
              <w:t>(1)</w:t>
            </w:r>
          </w:p>
        </w:tc>
        <w:tc>
          <w:tcPr>
            <w:tcW w:w="5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143,510</w:t>
            </w:r>
          </w:p>
        </w:tc>
        <w:tc>
          <w:tcPr>
            <w:tcW w:w="2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209,253</w:t>
            </w:r>
          </w:p>
        </w:tc>
        <w:tc>
          <w:tcPr>
            <w:tcW w:w="2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104,670</w:t>
            </w:r>
          </w:p>
        </w:tc>
        <w:tc>
          <w:tcPr>
            <w:tcW w:w="2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113,916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4"/>
                <w:szCs w:val="14"/>
                <w:color w:val="auto"/>
              </w:rPr>
              <w:t>Gross profit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132,817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220,646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96,698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136,727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Operating expenses:</w:t>
            </w:r>
          </w:p>
        </w:tc>
        <w:tc>
          <w:tcPr>
            <w:tcW w:w="56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4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60"/>
              <w:spacing w:after="0" w:line="216"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4"/>
                <w:szCs w:val="24"/>
                <w:color w:val="auto"/>
                <w:vertAlign w:val="superscript"/>
              </w:rPr>
              <w:t>(1)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126,436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192,600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96,176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104,141</w:t>
            </w:r>
          </w:p>
        </w:tc>
        <w:tc>
          <w:tcPr>
            <w:tcW w:w="0" w:type="dxa"/>
            <w:vAlign w:val="bottom"/>
          </w:tcPr>
          <w:p>
            <w:pPr>
              <w:spacing w:after="0"/>
              <w:rPr>
                <w:sz w:val="1"/>
                <w:szCs w:val="1"/>
                <w:color w:val="auto"/>
              </w:rPr>
            </w:pPr>
          </w:p>
        </w:tc>
      </w:tr>
      <w:tr>
        <w:trPr>
          <w:trHeight w:val="216"/>
        </w:trPr>
        <w:tc>
          <w:tcPr>
            <w:tcW w:w="3420" w:type="dxa"/>
            <w:vAlign w:val="bottom"/>
            <w:shd w:val="clear" w:color="auto" w:fill="DDDDDD"/>
          </w:tcPr>
          <w:p>
            <w:pPr>
              <w:ind w:left="260"/>
              <w:spacing w:after="0" w:line="216"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4"/>
                <w:szCs w:val="24"/>
                <w:color w:val="auto"/>
                <w:vertAlign w:val="superscript"/>
              </w:rPr>
              <w:t>(1)</w:t>
            </w:r>
          </w:p>
        </w:tc>
        <w:tc>
          <w:tcPr>
            <w:tcW w:w="56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2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34,379</w:t>
            </w:r>
          </w:p>
        </w:tc>
        <w:tc>
          <w:tcPr>
            <w:tcW w:w="2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50,643</w:t>
            </w:r>
          </w:p>
        </w:tc>
        <w:tc>
          <w:tcPr>
            <w:tcW w:w="2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3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24,295</w:t>
            </w:r>
          </w:p>
        </w:tc>
        <w:tc>
          <w:tcPr>
            <w:tcW w:w="2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30,196</w:t>
            </w:r>
          </w:p>
        </w:tc>
        <w:tc>
          <w:tcPr>
            <w:tcW w:w="0" w:type="dxa"/>
            <w:vAlign w:val="bottom"/>
          </w:tcPr>
          <w:p>
            <w:pPr>
              <w:spacing w:after="0"/>
              <w:rPr>
                <w:sz w:val="1"/>
                <w:szCs w:val="1"/>
                <w:color w:val="auto"/>
              </w:rPr>
            </w:pPr>
          </w:p>
        </w:tc>
      </w:tr>
      <w:tr>
        <w:trPr>
          <w:trHeight w:val="216"/>
        </w:trPr>
        <w:tc>
          <w:tcPr>
            <w:tcW w:w="3420" w:type="dxa"/>
            <w:vAlign w:val="bottom"/>
          </w:tcPr>
          <w:p>
            <w:pPr>
              <w:ind w:left="260"/>
              <w:spacing w:after="0" w:line="216"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4"/>
                <w:szCs w:val="24"/>
                <w:color w:val="auto"/>
                <w:vertAlign w:val="superscript"/>
              </w:rPr>
              <w:t>(1)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40,033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50,783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26,035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29,802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shd w:val="clear" w:color="auto" w:fill="DDDDDD"/>
          </w:tcPr>
          <w:p>
            <w:pPr>
              <w:ind w:left="440"/>
              <w:spacing w:after="0"/>
              <w:rPr>
                <w:sz w:val="20"/>
                <w:szCs w:val="20"/>
                <w:color w:val="auto"/>
              </w:rPr>
            </w:pPr>
            <w:r>
              <w:rPr>
                <w:rFonts w:ascii="Arial" w:cs="Arial" w:eastAsia="Arial" w:hAnsi="Arial"/>
                <w:sz w:val="14"/>
                <w:szCs w:val="14"/>
                <w:color w:val="auto"/>
              </w:rPr>
              <w:t>Total operating expenses</w:t>
            </w:r>
          </w:p>
        </w:tc>
        <w:tc>
          <w:tcPr>
            <w:tcW w:w="56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2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200,848</w:t>
            </w:r>
          </w:p>
        </w:tc>
        <w:tc>
          <w:tcPr>
            <w:tcW w:w="2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294,026</w:t>
            </w:r>
          </w:p>
        </w:tc>
        <w:tc>
          <w:tcPr>
            <w:tcW w:w="28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3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146,506</w:t>
            </w:r>
          </w:p>
        </w:tc>
        <w:tc>
          <w:tcPr>
            <w:tcW w:w="2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1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164,139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4"/>
                <w:szCs w:val="14"/>
                <w:color w:val="auto"/>
              </w:rPr>
              <w:t>Operating loss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(68,031)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(73,380)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(49,808)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(27,412)</w:t>
            </w:r>
          </w:p>
        </w:tc>
        <w:tc>
          <w:tcPr>
            <w:tcW w:w="0" w:type="dxa"/>
            <w:vAlign w:val="bottom"/>
          </w:tcPr>
          <w:p>
            <w:pPr>
              <w:spacing w:after="0"/>
              <w:rPr>
                <w:sz w:val="1"/>
                <w:szCs w:val="1"/>
                <w:color w:val="auto"/>
              </w:rPr>
            </w:pPr>
          </w:p>
        </w:tc>
      </w:tr>
      <w:tr>
        <w:trPr>
          <w:trHeight w:val="222"/>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Other income (expense), net:</w:t>
            </w:r>
          </w:p>
        </w:tc>
        <w:tc>
          <w:tcPr>
            <w:tcW w:w="5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8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60"/>
              <w:spacing w:after="0"/>
              <w:rPr>
                <w:sz w:val="20"/>
                <w:szCs w:val="20"/>
                <w:color w:val="auto"/>
              </w:rPr>
            </w:pPr>
            <w:r>
              <w:rPr>
                <w:rFonts w:ascii="Arial" w:cs="Arial" w:eastAsia="Arial" w:hAnsi="Arial"/>
                <w:sz w:val="14"/>
                <w:szCs w:val="14"/>
                <w:color w:val="auto"/>
              </w:rPr>
              <w:t>Interest income (expense),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(1,146)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(1,014)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16"/>
        </w:trPr>
        <w:tc>
          <w:tcPr>
            <w:tcW w:w="34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Other income (expense), net</w:t>
            </w:r>
          </w:p>
        </w:tc>
        <w:tc>
          <w:tcPr>
            <w:tcW w:w="56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2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(384)</w:t>
            </w:r>
          </w:p>
        </w:tc>
        <w:tc>
          <w:tcPr>
            <w:tcW w:w="2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55</w:t>
            </w:r>
          </w:p>
        </w:tc>
        <w:tc>
          <w:tcPr>
            <w:tcW w:w="2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3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138</w:t>
            </w:r>
          </w:p>
        </w:tc>
        <w:tc>
          <w:tcPr>
            <w:tcW w:w="2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tcPr>
          <w:p>
            <w:pPr>
              <w:ind w:left="440"/>
              <w:spacing w:after="0"/>
              <w:rPr>
                <w:sz w:val="20"/>
                <w:szCs w:val="20"/>
                <w:color w:val="auto"/>
              </w:rPr>
            </w:pPr>
            <w:r>
              <w:rPr>
                <w:rFonts w:ascii="Arial" w:cs="Arial" w:eastAsia="Arial" w:hAnsi="Arial"/>
                <w:sz w:val="14"/>
                <w:szCs w:val="14"/>
                <w:color w:val="auto"/>
              </w:rPr>
              <w:t>Total other income (expense), net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(297)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(1,091)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(876)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Net loss before taxes</w:t>
            </w:r>
          </w:p>
        </w:tc>
        <w:tc>
          <w:tcPr>
            <w:tcW w:w="56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2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(68,328)</w:t>
            </w:r>
          </w:p>
        </w:tc>
        <w:tc>
          <w:tcPr>
            <w:tcW w:w="2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(74,471)</w:t>
            </w:r>
          </w:p>
        </w:tc>
        <w:tc>
          <w:tcPr>
            <w:tcW w:w="28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3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(50,684)</w:t>
            </w:r>
          </w:p>
        </w:tc>
        <w:tc>
          <w:tcPr>
            <w:tcW w:w="2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(28,321)</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4"/>
                <w:szCs w:val="14"/>
                <w:color w:val="auto"/>
              </w:rPr>
              <w:t>Income tax provision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(1,375)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(3,149)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(1,766)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222"/>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(69,703)</w:t>
            </w:r>
          </w:p>
        </w:tc>
        <w:tc>
          <w:tcPr>
            <w:tcW w:w="2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16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(77,620)</w:t>
            </w:r>
          </w:p>
        </w:tc>
        <w:tc>
          <w:tcPr>
            <w:tcW w:w="2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(52,450)</w:t>
            </w:r>
          </w:p>
        </w:tc>
        <w:tc>
          <w:tcPr>
            <w:tcW w:w="2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(29,380)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common</w:t>
            </w: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line="191"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22"/>
                <w:szCs w:val="22"/>
                <w:color w:val="auto"/>
                <w:vertAlign w:val="superscript"/>
              </w:rPr>
              <w:t>(2)</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(2.57)</w:t>
            </w: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(2.33)</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(1.63)</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Weighted-average shares used to calculate net loss</w:t>
            </w:r>
          </w:p>
        </w:tc>
        <w:tc>
          <w:tcPr>
            <w:tcW w:w="5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82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per share attributable to common stockholders -</w:t>
            </w:r>
          </w:p>
        </w:tc>
        <w:tc>
          <w:tcPr>
            <w:tcW w:w="56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46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420" w:type="dxa"/>
            <w:vAlign w:val="bottom"/>
            <w:shd w:val="clear" w:color="auto" w:fill="DDDDDD"/>
          </w:tcPr>
          <w:p>
            <w:pPr>
              <w:spacing w:after="0"/>
              <w:rPr>
                <w:sz w:val="13"/>
                <w:szCs w:val="13"/>
                <w:color w:val="auto"/>
              </w:rPr>
            </w:pPr>
          </w:p>
        </w:tc>
        <w:tc>
          <w:tcPr>
            <w:tcW w:w="86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20" w:type="dxa"/>
            <w:vAlign w:val="bottom"/>
            <w:shd w:val="clear" w:color="auto" w:fill="DDDDDD"/>
          </w:tcPr>
          <w:p>
            <w:pPr>
              <w:spacing w:after="0" w:line="191" w:lineRule="exact"/>
              <w:rPr>
                <w:sz w:val="20"/>
                <w:szCs w:val="20"/>
                <w:color w:val="auto"/>
              </w:rPr>
            </w:pPr>
            <w:r>
              <w:rPr>
                <w:rFonts w:ascii="Arial" w:cs="Arial" w:eastAsia="Arial" w:hAnsi="Arial"/>
                <w:sz w:val="13"/>
                <w:szCs w:val="13"/>
                <w:color w:val="auto"/>
              </w:rPr>
              <w:t>basic and diluted</w:t>
            </w:r>
            <w:r>
              <w:rPr>
                <w:rFonts w:ascii="Arial" w:cs="Arial" w:eastAsia="Arial" w:hAnsi="Arial"/>
                <w:sz w:val="22"/>
                <w:szCs w:val="22"/>
                <w:color w:val="auto"/>
                <w:vertAlign w:val="superscript"/>
              </w:rPr>
              <w:t>(2)</w:t>
            </w:r>
          </w:p>
        </w:tc>
        <w:tc>
          <w:tcPr>
            <w:tcW w:w="56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27,096,379</w:t>
            </w:r>
          </w:p>
        </w:tc>
        <w:tc>
          <w:tcPr>
            <w:tcW w:w="2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33,384,438</w:t>
            </w:r>
          </w:p>
        </w:tc>
        <w:tc>
          <w:tcPr>
            <w:tcW w:w="28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3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32,104,638</w:t>
            </w:r>
          </w:p>
        </w:tc>
        <w:tc>
          <w:tcPr>
            <w:tcW w:w="2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1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36,726,992</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Pro forma net loss per share attributable to common</w:t>
            </w: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line="191" w:lineRule="exact"/>
              <w:rPr>
                <w:sz w:val="20"/>
                <w:szCs w:val="20"/>
                <w:color w:val="auto"/>
              </w:rPr>
            </w:pPr>
            <w:r>
              <w:rPr>
                <w:rFonts w:ascii="Arial" w:cs="Arial" w:eastAsia="Arial" w:hAnsi="Arial"/>
                <w:sz w:val="13"/>
                <w:szCs w:val="13"/>
                <w:color w:val="auto"/>
              </w:rPr>
              <w:t>stockholders—basic and diluted</w:t>
            </w:r>
            <w:r>
              <w:rPr>
                <w:rFonts w:ascii="Arial" w:cs="Arial" w:eastAsia="Arial" w:hAnsi="Arial"/>
                <w:sz w:val="22"/>
                <w:szCs w:val="22"/>
                <w:color w:val="auto"/>
                <w:vertAlign w:val="superscript"/>
              </w:rPr>
              <w:t>(2)</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(0.65)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20" w:type="dxa"/>
            <w:vAlign w:val="bottom"/>
            <w:shd w:val="clear" w:color="auto" w:fill="DDDDDD"/>
          </w:tcPr>
          <w:p>
            <w:pPr>
              <w:spacing w:after="0"/>
              <w:rPr>
                <w:sz w:val="20"/>
                <w:szCs w:val="20"/>
                <w:color w:val="auto"/>
              </w:rPr>
            </w:pPr>
            <w:r>
              <w:rPr>
                <w:rFonts w:ascii="Arial" w:cs="Arial" w:eastAsia="Arial" w:hAnsi="Arial"/>
                <w:sz w:val="14"/>
                <w:szCs w:val="14"/>
                <w:color w:val="auto"/>
              </w:rPr>
              <w:t>Weighted-average shares used to compute pro forma</w:t>
            </w:r>
          </w:p>
        </w:tc>
        <w:tc>
          <w:tcPr>
            <w:tcW w:w="5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82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net loss per share attributable to common</w:t>
            </w:r>
          </w:p>
        </w:tc>
        <w:tc>
          <w:tcPr>
            <w:tcW w:w="56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46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0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420" w:type="dxa"/>
            <w:vAlign w:val="bottom"/>
            <w:shd w:val="clear" w:color="auto" w:fill="DDDDDD"/>
          </w:tcPr>
          <w:p>
            <w:pPr>
              <w:spacing w:after="0"/>
              <w:rPr>
                <w:sz w:val="13"/>
                <w:szCs w:val="13"/>
                <w:color w:val="auto"/>
              </w:rPr>
            </w:pPr>
          </w:p>
        </w:tc>
        <w:tc>
          <w:tcPr>
            <w:tcW w:w="86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20" w:type="dxa"/>
            <w:vAlign w:val="bottom"/>
            <w:shd w:val="clear" w:color="auto" w:fill="DDDDDD"/>
          </w:tcPr>
          <w:p>
            <w:pPr>
              <w:spacing w:after="0" w:line="191" w:lineRule="exact"/>
              <w:rPr>
                <w:sz w:val="20"/>
                <w:szCs w:val="20"/>
                <w:color w:val="auto"/>
              </w:rPr>
            </w:pPr>
            <w:r>
              <w:rPr>
                <w:rFonts w:ascii="Arial" w:cs="Arial" w:eastAsia="Arial" w:hAnsi="Arial"/>
                <w:sz w:val="13"/>
                <w:szCs w:val="13"/>
                <w:color w:val="auto"/>
              </w:rPr>
              <w:t>stockholders—basic and diluted</w:t>
            </w:r>
            <w:r>
              <w:rPr>
                <w:rFonts w:ascii="Arial" w:cs="Arial" w:eastAsia="Arial" w:hAnsi="Arial"/>
                <w:sz w:val="22"/>
                <w:szCs w:val="22"/>
                <w:color w:val="auto"/>
                <w:vertAlign w:val="superscript"/>
              </w:rPr>
              <w:t>(2)</w:t>
            </w:r>
          </w:p>
        </w:tc>
        <w:tc>
          <w:tcPr>
            <w:tcW w:w="56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11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118,775,776</w:t>
            </w:r>
          </w:p>
        </w:tc>
        <w:tc>
          <w:tcPr>
            <w:tcW w:w="28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1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122,130,925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Stock-based compensation expense included in the consolidated statements of operations data above was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7"/>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060" w:type="dxa"/>
            <w:vAlign w:val="bottom"/>
            <w:tcBorders>
              <w:bottom w:val="single" w:sz="8" w:color="DDDDDD"/>
            </w:tcBorders>
          </w:tcPr>
          <w:p>
            <w:pPr>
              <w:spacing w:after="0"/>
              <w:rPr>
                <w:sz w:val="13"/>
                <w:szCs w:val="13"/>
                <w:color w:val="auto"/>
              </w:rPr>
            </w:pPr>
          </w:p>
        </w:tc>
        <w:tc>
          <w:tcPr>
            <w:tcW w:w="220" w:type="dxa"/>
            <w:vAlign w:val="bottom"/>
            <w:tcBorders>
              <w:bottom w:val="single" w:sz="8" w:color="DDDDDD"/>
            </w:tcBorders>
          </w:tcPr>
          <w:p>
            <w:pPr>
              <w:spacing w:after="0"/>
              <w:rPr>
                <w:sz w:val="13"/>
                <w:szCs w:val="13"/>
                <w:color w:val="auto"/>
              </w:rPr>
            </w:pPr>
          </w:p>
        </w:tc>
        <w:tc>
          <w:tcPr>
            <w:tcW w:w="86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DDDDDD"/>
            </w:tcBorders>
          </w:tcPr>
          <w:p>
            <w:pPr>
              <w:spacing w:after="0"/>
              <w:rPr>
                <w:sz w:val="13"/>
                <w:szCs w:val="13"/>
                <w:color w:val="auto"/>
              </w:rPr>
            </w:pPr>
          </w:p>
        </w:tc>
        <w:tc>
          <w:tcPr>
            <w:tcW w:w="220" w:type="dxa"/>
            <w:vAlign w:val="bottom"/>
            <w:tcBorders>
              <w:top w:val="single" w:sz="8" w:color="auto"/>
              <w:bottom w:val="single" w:sz="8" w:color="DDDDDD"/>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DDDDDD"/>
            </w:tcBorders>
          </w:tcPr>
          <w:p>
            <w:pPr>
              <w:spacing w:after="0"/>
              <w:rPr>
                <w:sz w:val="13"/>
                <w:szCs w:val="13"/>
                <w:color w:val="auto"/>
              </w:rPr>
            </w:pPr>
          </w:p>
        </w:tc>
        <w:tc>
          <w:tcPr>
            <w:tcW w:w="220" w:type="dxa"/>
            <w:vAlign w:val="bottom"/>
            <w:tcBorders>
              <w:bottom w:val="single" w:sz="8" w:color="DDDDDD"/>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DDDDDD"/>
            </w:tcBorders>
          </w:tcPr>
          <w:p>
            <w:pPr>
              <w:spacing w:after="0"/>
              <w:rPr>
                <w:sz w:val="13"/>
                <w:szCs w:val="13"/>
                <w:color w:val="auto"/>
              </w:rPr>
            </w:pPr>
          </w:p>
        </w:tc>
        <w:tc>
          <w:tcPr>
            <w:tcW w:w="200" w:type="dxa"/>
            <w:vAlign w:val="bottom"/>
            <w:tcBorders>
              <w:top w:val="single" w:sz="8" w:color="auto"/>
              <w:bottom w:val="single" w:sz="8" w:color="DDDDDD"/>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DDDDDD"/>
            </w:tcBorders>
          </w:tcPr>
          <w:p>
            <w:pPr>
              <w:spacing w:after="0"/>
              <w:rPr>
                <w:sz w:val="13"/>
                <w:szCs w:val="13"/>
                <w:color w:val="auto"/>
              </w:rPr>
            </w:pPr>
          </w:p>
        </w:tc>
      </w:tr>
      <w:tr>
        <w:trPr>
          <w:trHeight w:val="217"/>
        </w:trPr>
        <w:tc>
          <w:tcPr>
            <w:tcW w:w="506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Cost of revenues</w:t>
            </w:r>
          </w:p>
        </w:tc>
        <w:tc>
          <w:tcPr>
            <w:tcW w:w="1080" w:type="dxa"/>
            <w:vAlign w:val="bottom"/>
            <w:tcBorders>
              <w:bottom w:val="single" w:sz="8" w:color="DDDDDD"/>
            </w:tcBorders>
            <w:gridSpan w:val="2"/>
            <w:shd w:val="clear" w:color="auto" w:fill="DDDDDD"/>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299</w:t>
            </w:r>
          </w:p>
        </w:tc>
        <w:tc>
          <w:tcPr>
            <w:tcW w:w="520" w:type="dxa"/>
            <w:vAlign w:val="bottom"/>
            <w:tcBorders>
              <w:bottom w:val="single" w:sz="8" w:color="DDDDDD"/>
            </w:tcBorders>
            <w:gridSpan w:val="3"/>
            <w:shd w:val="clear" w:color="auto" w:fill="DDDDDD"/>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418</w:t>
            </w:r>
          </w:p>
        </w:tc>
        <w:tc>
          <w:tcPr>
            <w:tcW w:w="46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191</w:t>
            </w:r>
          </w:p>
        </w:tc>
        <w:tc>
          <w:tcPr>
            <w:tcW w:w="2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537</w:t>
            </w:r>
          </w:p>
        </w:tc>
      </w:tr>
      <w:tr>
        <w:trPr>
          <w:trHeight w:val="204"/>
        </w:trPr>
        <w:tc>
          <w:tcPr>
            <w:tcW w:w="5060" w:type="dxa"/>
            <w:vAlign w:val="bottom"/>
          </w:tcPr>
          <w:p>
            <w:pPr>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3,001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7,518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3,636</w:t>
            </w:r>
          </w:p>
        </w:tc>
      </w:tr>
      <w:tr>
        <w:trPr>
          <w:trHeight w:val="53"/>
        </w:trPr>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6"/>
        </w:trPr>
        <w:tc>
          <w:tcPr>
            <w:tcW w:w="506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Research and development</w:t>
            </w:r>
          </w:p>
        </w:tc>
        <w:tc>
          <w:tcPr>
            <w:tcW w:w="22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spacing w:after="0"/>
              <w:rPr>
                <w:sz w:val="20"/>
                <w:szCs w:val="20"/>
                <w:color w:val="auto"/>
              </w:rPr>
            </w:pPr>
          </w:p>
        </w:tc>
        <w:tc>
          <w:tcPr>
            <w:tcW w:w="4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2,357</w:t>
            </w:r>
          </w:p>
        </w:tc>
        <w:tc>
          <w:tcPr>
            <w:tcW w:w="4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DDDDDD"/>
            </w:tcBorders>
            <w:shd w:val="clear" w:color="auto" w:fill="DDDDDD"/>
          </w:tcPr>
          <w:p>
            <w:pPr>
              <w:spacing w:after="0"/>
              <w:rPr>
                <w:sz w:val="20"/>
                <w:szCs w:val="20"/>
                <w:color w:val="auto"/>
              </w:rPr>
            </w:pPr>
          </w:p>
        </w:tc>
        <w:tc>
          <w:tcPr>
            <w:tcW w:w="96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5,232</w:t>
            </w:r>
          </w:p>
        </w:tc>
        <w:tc>
          <w:tcPr>
            <w:tcW w:w="22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DDDDDD"/>
            </w:tcBorders>
            <w:shd w:val="clear" w:color="auto" w:fill="DDDDDD"/>
          </w:tcPr>
          <w:p>
            <w:pPr>
              <w:spacing w:after="0"/>
              <w:rPr>
                <w:sz w:val="20"/>
                <w:szCs w:val="20"/>
                <w:color w:val="auto"/>
              </w:rPr>
            </w:pPr>
          </w:p>
        </w:tc>
        <w:tc>
          <w:tcPr>
            <w:tcW w:w="100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3,184</w:t>
            </w:r>
          </w:p>
        </w:tc>
        <w:tc>
          <w:tcPr>
            <w:tcW w:w="20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DDDDDD"/>
            </w:tcBorders>
            <w:shd w:val="clear" w:color="auto" w:fill="DDDDDD"/>
          </w:tcPr>
          <w:p>
            <w:pPr>
              <w:spacing w:after="0"/>
              <w:rPr>
                <w:sz w:val="20"/>
                <w:szCs w:val="20"/>
                <w:color w:val="auto"/>
              </w:rPr>
            </w:pPr>
          </w:p>
        </w:tc>
        <w:tc>
          <w:tcPr>
            <w:tcW w:w="100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3,142</w:t>
            </w:r>
          </w:p>
        </w:tc>
      </w:tr>
      <w:tr>
        <w:trPr>
          <w:trHeight w:val="210"/>
        </w:trPr>
        <w:tc>
          <w:tcPr>
            <w:tcW w:w="50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3,306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11,806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9,169</w:t>
            </w: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60" w:type="dxa"/>
            <w:vAlign w:val="bottom"/>
            <w:shd w:val="clear" w:color="auto" w:fill="DDDDDD"/>
          </w:tcPr>
          <w:p>
            <w:pPr>
              <w:spacing w:after="0"/>
              <w:rPr>
                <w:sz w:val="20"/>
                <w:szCs w:val="20"/>
                <w:color w:val="auto"/>
              </w:rPr>
            </w:pPr>
            <w:r>
              <w:rPr>
                <w:rFonts w:ascii="Arial" w:cs="Arial" w:eastAsia="Arial" w:hAnsi="Arial"/>
                <w:sz w:val="14"/>
                <w:szCs w:val="14"/>
                <w:color w:val="auto"/>
              </w:rPr>
              <w:t>Total stock-based compensation expense</w:t>
            </w:r>
          </w:p>
        </w:tc>
        <w:tc>
          <w:tcPr>
            <w:tcW w:w="22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7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8,963</w:t>
            </w:r>
          </w:p>
        </w:tc>
        <w:tc>
          <w:tcPr>
            <w:tcW w:w="4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31,618</w:t>
            </w:r>
          </w:p>
        </w:tc>
        <w:tc>
          <w:tcPr>
            <w:tcW w:w="4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20,603</w:t>
            </w:r>
          </w:p>
        </w:tc>
        <w:tc>
          <w:tcPr>
            <w:tcW w:w="20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16,484</w:t>
            </w:r>
          </w:p>
        </w:tc>
      </w:tr>
      <w:tr>
        <w:trPr>
          <w:trHeight w:val="20"/>
        </w:trPr>
        <w:tc>
          <w:tcPr>
            <w:tcW w:w="5060" w:type="dxa"/>
            <w:vAlign w:val="bottom"/>
            <w:tcBorders>
              <w:top w:val="single" w:sz="8" w:color="DDDDDD"/>
            </w:tcBorders>
            <w:shd w:val="clear" w:color="auto" w:fill="DDDDDD"/>
          </w:tcPr>
          <w:p>
            <w:pPr>
              <w:spacing w:after="0" w:line="20" w:lineRule="exact"/>
              <w:rPr>
                <w:sz w:val="1"/>
                <w:szCs w:val="1"/>
                <w:color w:val="auto"/>
              </w:rPr>
            </w:pPr>
          </w:p>
        </w:tc>
        <w:tc>
          <w:tcPr>
            <w:tcW w:w="220" w:type="dxa"/>
            <w:vAlign w:val="bottom"/>
            <w:tcBorders>
              <w:top w:val="single" w:sz="8" w:color="DDDDDD"/>
            </w:tcBorders>
            <w:shd w:val="clear" w:color="auto" w:fill="DDDDDD"/>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DDDDDD"/>
            </w:tcBorders>
            <w:shd w:val="clear" w:color="auto" w:fill="DDDDDD"/>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DDDDDD"/>
            </w:tcBorders>
            <w:shd w:val="clear" w:color="auto" w:fill="DDDDDD"/>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DDDDDD"/>
            </w:tcBorders>
            <w:shd w:val="clear" w:color="auto" w:fill="DDDDDD"/>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60" w:hanging="424"/>
        <w:spacing w:after="0" w:line="242" w:lineRule="auto"/>
        <w:tabs>
          <w:tab w:leader="none" w:pos="5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See Note 2 and Note 14 to our audited consolidated financial statements included elsewhere in this prospectus for an explanation of the calculations of our net loss per share attributable to common stockholders, basic and diluted and the weighted-average shares used to compute these amounts. Pro forma basic net loss per share attributable to common stockholders, basic and diluted is computed to give effect to the automatic conversion of all outstanding shares of our redeemable convertible preferred stock into an aggregate of 85,391,338 and 85,403,933 shares of common stock immediately prior to the completion of this offering, as of December 31, 2020 and June 30, 2021, respectively, with the June 30, 2021 balance representing the common stock amount immediately prior to the completion of this offering. Incremental stock-based compensation incurred in connection with the completion of this offering is immaterial.</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6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69"/>
        </w:trPr>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2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DDDDDD"/>
            </w:tcBorders>
            <w:shd w:val="clear" w:color="auto" w:fill="DDDDDD"/>
          </w:tcPr>
          <w:p>
            <w:pPr>
              <w:spacing w:after="0"/>
              <w:rPr>
                <w:sz w:val="19"/>
                <w:szCs w:val="19"/>
                <w:color w:val="auto"/>
              </w:rPr>
            </w:pPr>
          </w:p>
        </w:tc>
        <w:tc>
          <w:tcPr>
            <w:tcW w:w="920" w:type="dxa"/>
            <w:vAlign w:val="bottom"/>
            <w:tcBorders>
              <w:bottom w:val="single" w:sz="8" w:color="DDDDDD"/>
            </w:tcBorders>
            <w:shd w:val="clear" w:color="auto" w:fill="DDDDDD"/>
          </w:tcPr>
          <w:p>
            <w:pPr>
              <w:spacing w:after="0"/>
              <w:rPr>
                <w:sz w:val="19"/>
                <w:szCs w:val="19"/>
                <w:color w:val="auto"/>
              </w:rPr>
            </w:pPr>
          </w:p>
        </w:tc>
        <w:tc>
          <w:tcPr>
            <w:tcW w:w="300" w:type="dxa"/>
            <w:vAlign w:val="bottom"/>
            <w:tcBorders>
              <w:bottom w:val="single" w:sz="8" w:color="DDDDDD"/>
            </w:tcBorders>
            <w:shd w:val="clear" w:color="auto" w:fill="DDDDDD"/>
          </w:tcPr>
          <w:p>
            <w:pPr>
              <w:spacing w:after="0"/>
              <w:rPr>
                <w:sz w:val="19"/>
                <w:szCs w:val="19"/>
                <w:color w:val="auto"/>
              </w:rPr>
            </w:pPr>
          </w:p>
        </w:tc>
        <w:tc>
          <w:tcPr>
            <w:tcW w:w="360" w:type="dxa"/>
            <w:vAlign w:val="bottom"/>
            <w:tcBorders>
              <w:bottom w:val="single" w:sz="8" w:color="DDDDDD"/>
            </w:tcBorders>
            <w:shd w:val="clear" w:color="auto" w:fill="DDDDDD"/>
          </w:tcPr>
          <w:p>
            <w:pPr>
              <w:spacing w:after="0"/>
              <w:rPr>
                <w:sz w:val="19"/>
                <w:szCs w:val="19"/>
                <w:color w:val="auto"/>
              </w:rPr>
            </w:pPr>
          </w:p>
        </w:tc>
        <w:tc>
          <w:tcPr>
            <w:tcW w:w="740" w:type="dxa"/>
            <w:vAlign w:val="bottom"/>
            <w:tcBorders>
              <w:bottom w:val="single" w:sz="8" w:color="DDDDDD"/>
            </w:tcBorders>
            <w:shd w:val="clear" w:color="auto" w:fill="DDDDDD"/>
          </w:tcPr>
          <w:p>
            <w:pPr>
              <w:spacing w:after="0"/>
              <w:rPr>
                <w:sz w:val="19"/>
                <w:szCs w:val="19"/>
                <w:color w:val="auto"/>
              </w:rPr>
            </w:pPr>
          </w:p>
        </w:tc>
        <w:tc>
          <w:tcPr>
            <w:tcW w:w="32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spacing w:after="0"/>
              <w:rPr>
                <w:sz w:val="19"/>
                <w:szCs w:val="19"/>
                <w:color w:val="auto"/>
              </w:rPr>
            </w:pPr>
          </w:p>
        </w:tc>
        <w:tc>
          <w:tcPr>
            <w:tcW w:w="7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4"/>
                <w:szCs w:val="14"/>
                <w:color w:val="auto"/>
              </w:rPr>
              <w:t>Total current assets</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84,380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236,964</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233,523</w:t>
            </w:r>
          </w:p>
        </w:tc>
      </w:tr>
      <w:tr>
        <w:trPr>
          <w:trHeight w:val="222"/>
        </w:trPr>
        <w:tc>
          <w:tcPr>
            <w:tcW w:w="6840" w:type="dxa"/>
            <w:vAlign w:val="bottom"/>
            <w:shd w:val="clear" w:color="auto" w:fill="DDDDDD"/>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117,302</w:t>
            </w:r>
          </w:p>
        </w:tc>
        <w:tc>
          <w:tcPr>
            <w:tcW w:w="36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282,096</w:t>
            </w:r>
          </w:p>
        </w:tc>
        <w:tc>
          <w:tcPr>
            <w:tcW w:w="200" w:type="dxa"/>
            <w:vAlign w:val="bottom"/>
            <w:shd w:val="clear" w:color="auto" w:fill="DDDDDD"/>
          </w:tcPr>
          <w:p>
            <w:pPr>
              <w:spacing w:after="0"/>
              <w:rPr>
                <w:sz w:val="19"/>
                <w:szCs w:val="19"/>
                <w:color w:val="auto"/>
              </w:rPr>
            </w:pPr>
          </w:p>
        </w:tc>
        <w:tc>
          <w:tcPr>
            <w:tcW w:w="8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286,668</w:t>
            </w:r>
          </w:p>
        </w:tc>
      </w:tr>
      <w:tr>
        <w:trPr>
          <w:trHeight w:val="210"/>
        </w:trPr>
        <w:tc>
          <w:tcPr>
            <w:tcW w:w="68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183,899</w:t>
            </w: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263,813</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273,656</w:t>
            </w:r>
          </w:p>
        </w:tc>
      </w:tr>
      <w:tr>
        <w:trPr>
          <w:trHeight w:val="222"/>
        </w:trPr>
        <w:tc>
          <w:tcPr>
            <w:tcW w:w="6840" w:type="dxa"/>
            <w:vAlign w:val="bottom"/>
            <w:shd w:val="clear" w:color="auto" w:fill="DDDDDD"/>
          </w:tcPr>
          <w:p>
            <w:pPr>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187,247</w:t>
            </w:r>
          </w:p>
        </w:tc>
        <w:tc>
          <w:tcPr>
            <w:tcW w:w="36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268,677</w:t>
            </w:r>
          </w:p>
        </w:tc>
        <w:tc>
          <w:tcPr>
            <w:tcW w:w="200" w:type="dxa"/>
            <w:vAlign w:val="bottom"/>
            <w:shd w:val="clear" w:color="auto" w:fill="DDDDDD"/>
          </w:tcPr>
          <w:p>
            <w:pPr>
              <w:spacing w:after="0"/>
              <w:rPr>
                <w:sz w:val="19"/>
                <w:szCs w:val="19"/>
                <w:color w:val="auto"/>
              </w:rPr>
            </w:pPr>
          </w:p>
        </w:tc>
        <w:tc>
          <w:tcPr>
            <w:tcW w:w="8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279,172</w:t>
            </w:r>
          </w:p>
        </w:tc>
      </w:tr>
      <w:tr>
        <w:trPr>
          <w:trHeight w:val="210"/>
        </w:trPr>
        <w:tc>
          <w:tcPr>
            <w:tcW w:w="6840" w:type="dxa"/>
            <w:vAlign w:val="bottom"/>
          </w:tcPr>
          <w:p>
            <w:pPr>
              <w:spacing w:after="0"/>
              <w:rPr>
                <w:sz w:val="20"/>
                <w:szCs w:val="20"/>
                <w:color w:val="auto"/>
              </w:rPr>
            </w:pPr>
            <w:r>
              <w:rPr>
                <w:rFonts w:ascii="Arial" w:cs="Arial" w:eastAsia="Arial" w:hAnsi="Arial"/>
                <w:sz w:val="14"/>
                <w:szCs w:val="14"/>
                <w:color w:val="auto"/>
              </w:rPr>
              <w:t>Redeemable convertible preferred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155,645</w:t>
            </w: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274,104</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274,267</w:t>
            </w:r>
          </w:p>
        </w:tc>
      </w:tr>
      <w:tr>
        <w:trPr>
          <w:trHeight w:val="222"/>
        </w:trPr>
        <w:tc>
          <w:tcPr>
            <w:tcW w:w="6840" w:type="dxa"/>
            <w:vAlign w:val="bottom"/>
            <w:shd w:val="clear" w:color="auto" w:fill="DDDDDD"/>
          </w:tcPr>
          <w:p>
            <w:pPr>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75,293</w:t>
            </w:r>
          </w:p>
        </w:tc>
        <w:tc>
          <w:tcPr>
            <w:tcW w:w="36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117,818</w:t>
            </w:r>
          </w:p>
        </w:tc>
        <w:tc>
          <w:tcPr>
            <w:tcW w:w="200" w:type="dxa"/>
            <w:vAlign w:val="bottom"/>
            <w:shd w:val="clear" w:color="auto" w:fill="DDDDDD"/>
          </w:tcPr>
          <w:p>
            <w:pPr>
              <w:spacing w:after="0"/>
              <w:rPr>
                <w:sz w:val="19"/>
                <w:szCs w:val="19"/>
                <w:color w:val="auto"/>
              </w:rPr>
            </w:pPr>
          </w:p>
        </w:tc>
        <w:tc>
          <w:tcPr>
            <w:tcW w:w="8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141,112</w:t>
            </w:r>
          </w:p>
        </w:tc>
      </w:tr>
      <w:tr>
        <w:trPr>
          <w:trHeight w:val="204"/>
        </w:trPr>
        <w:tc>
          <w:tcPr>
            <w:tcW w:w="6840" w:type="dxa"/>
            <w:vAlign w:val="bottom"/>
          </w:tcPr>
          <w:p>
            <w:pPr>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(300,883)</w:t>
            </w:r>
          </w:p>
        </w:tc>
        <w:tc>
          <w:tcPr>
            <w:tcW w:w="36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(378,503)</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(407,883)</w:t>
            </w:r>
          </w:p>
        </w:tc>
      </w:tr>
      <w:tr>
        <w:trPr>
          <w:trHeight w:val="384"/>
        </w:trPr>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w:t>
            </w: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205740</wp:posOffset>
            </wp:positionV>
            <wp:extent cx="5383530" cy="7037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83530"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5760720" cy="6703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6072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205740</wp:posOffset>
            </wp:positionV>
            <wp:extent cx="4680585" cy="6617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80585"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1340"/>
        <w:spacing w:after="0" w:line="277" w:lineRule="auto"/>
        <w:rPr>
          <w:sz w:val="20"/>
          <w:szCs w:val="20"/>
          <w:color w:val="auto"/>
        </w:rPr>
      </w:pPr>
      <w:r>
        <w:rPr>
          <w:rFonts w:ascii="Arial" w:cs="Arial" w:eastAsia="Arial" w:hAnsi="Arial"/>
          <w:sz w:val="27"/>
          <w:szCs w:val="27"/>
          <w:b w:val="1"/>
          <w:bCs w:val="1"/>
          <w:color w:val="auto"/>
        </w:rPr>
        <w:t>Management’s discussion and analysis of financial condition and results of operations</w:t>
      </w:r>
    </w:p>
    <w:p>
      <w:pPr>
        <w:spacing w:after="0" w:line="29"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in this prospectus. In addition to historical consolidated financial information, the following discussion contains forward-looking statements that reflect our plans, estimates, and beliefs. These forward-looking statements are subject to numerous risks and uncertainties, including, but not limited to, the risk and uncertainties described under “Risk factors” and elsewhere in this prospectus. Our actual results may differ materially from those contained in or implied by any forward-looking statements. This discussion and analysis of our financial condition and results of operations has been updated for the immaterial restatement referenced in Note 15 to the consolidated financial statements included elsewhere in this prospectus.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Our mission is to create new possibilities for people and organizations everywhere by connecting them to the knowledge and skills they need to succeed in a changing world. Our marketplace platform, with thousands of up-to-date courses in dozens of languages, provides the tools that learners, instructors, and organizations need to achieve their goals and reach their full potential.</w:t>
      </w:r>
    </w:p>
    <w:p>
      <w:pPr>
        <w:spacing w:after="0" w:line="20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w:t>
      </w:r>
    </w:p>
    <w:p>
      <w:pPr>
        <w:spacing w:after="0" w:line="203" w:lineRule="exact"/>
        <w:rPr>
          <w:sz w:val="20"/>
          <w:szCs w:val="20"/>
          <w:color w:val="auto"/>
        </w:rPr>
      </w:pPr>
    </w:p>
    <w:p>
      <w:pPr>
        <w:ind w:left="120" w:right="280"/>
        <w:spacing w:after="0" w:line="261" w:lineRule="auto"/>
        <w:rPr>
          <w:sz w:val="20"/>
          <w:szCs w:val="20"/>
          <w:color w:val="auto"/>
        </w:rPr>
      </w:pPr>
      <w:r>
        <w:rPr>
          <w:rFonts w:ascii="Arial" w:cs="Arial" w:eastAsia="Arial" w:hAnsi="Arial"/>
          <w:sz w:val="17"/>
          <w:szCs w:val="17"/>
          <w:color w:val="auto"/>
        </w:rPr>
        <w:t>Udemy operates a two-sided marketplace where our instructors develop content to meet learner demand. Courses can be accessed through our direct-to-consumer or Udemy Business, or UB, offerings. Our platform provides over 44 million learners with access to over 183,000 courses in 75 languages and over 180 countries. Since inception, more than 73 million users have registered with Udemy.</w:t>
      </w:r>
    </w:p>
    <w:p>
      <w:pPr>
        <w:spacing w:after="0" w:line="18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Udemy courses address learning objectives such as reskilling or upskilling in technology and business, enhancing soft skills, and personal development. We analyze platform data to better determine our learners’ needs, helping us match individuals with relevant courses and, within UB, learning paths for a more personalized experience. Our learners also receive access to interactive learning tools such as quizzes, exercises, and instructor questions-and-answers, or Q&amp;A.</w:t>
      </w:r>
    </w:p>
    <w:p>
      <w:pPr>
        <w:spacing w:after="0" w:line="205"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Within our marketplace and UB catalog, we provide learners with high-quality content by prioritizing courses based on factors such as learner feedback and ratings, topic relevance, content quality, and instructor engagement.</w:t>
      </w:r>
    </w:p>
    <w:p>
      <w:pPr>
        <w:spacing w:after="0" w:line="19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business has experienced rapid growth. From 2019 to 2020, our revenue grew 56% to $429.9 million, which includes over 100% growth in enterprise revenue, although we incurred net losses of $69.7 million and $77.6 million during 2019 and 2020, respectively. From the six months ended June 30, 2020 to the six months ended June 30, 2021, our revenue grew 24% to $250.6 million, which includes 79% growth in enterprise revenue, although we incurred net losses of $52.5 million and $29.4 million during the six months ended June 30, 2020 and 2021, respectively. As of December 31, 2020 and June 30, 2021, we had an accumulated deficit of $378.5 million and $407.9 million, respectively.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business model</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platform allows learners all over the world to access a wide breadth of affordable and relevant content from over 65,000 instructors, many of which are subject-matter experts in their field and/or experienced industry practitioners. We combine high-quality content, insights and analytics, and technology into a single, unified platform that is purpose-built to meet the specific needs of both consumers and enterprises. Our consumer segment targets individual learners seeking to obtain hands-on learning, gain valuable job skills to advance their professional careers, or learn a new personal skill through our consumer offering. Our enterprise segment focuses on helping business and government customers upskill and reskill their employees and public servants through our UB offering.</w:t>
      </w:r>
    </w:p>
    <w:p>
      <w:pPr>
        <w:spacing w:after="0" w:line="187" w:lineRule="exact"/>
        <w:rPr>
          <w:sz w:val="20"/>
          <w:szCs w:val="20"/>
          <w:color w:val="auto"/>
        </w:rPr>
      </w:pPr>
    </w:p>
    <w:p>
      <w:pPr>
        <w:ind w:left="120" w:right="80"/>
        <w:spacing w:after="0"/>
        <w:rPr>
          <w:sz w:val="20"/>
          <w:szCs w:val="20"/>
          <w:color w:val="auto"/>
        </w:rPr>
      </w:pPr>
      <w:r>
        <w:rPr>
          <w:rFonts w:ascii="Arial" w:cs="Arial" w:eastAsia="Arial" w:hAnsi="Arial"/>
          <w:sz w:val="18"/>
          <w:szCs w:val="18"/>
          <w:i w:val="1"/>
          <w:iCs w:val="1"/>
          <w:color w:val="auto"/>
        </w:rPr>
        <w:t xml:space="preserve">Consumer. </w:t>
      </w:r>
      <w:r>
        <w:rPr>
          <w:rFonts w:ascii="Arial" w:cs="Arial" w:eastAsia="Arial" w:hAnsi="Arial"/>
          <w:sz w:val="18"/>
          <w:szCs w:val="18"/>
          <w:color w:val="auto"/>
        </w:rPr>
        <w:t>Consumer learners come to Udemy for relevant, affordable, and high-quality content. Our global platform helps address the</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objectives of over 41 million consumer learners, which include reskilling or upskilling, enhancing soft skills, and personal enhancement. Consumer learners can purchase lifetime access to individual courses on our online platform or they can subscribe to a consumer subscription offering. We analyze data gathered on our platform to better determine our learners’ most relevant needs, helping us match them with relevant courses and learning paths, driving higher satisfaction. Learners from across the world have access to global and local instructors, providing learning skills that may be unique to their particular geographies. Once a learner enrolls in a course, we strive to provide an effective learning experience through assessments, labs, Q&amp;As, and interactive exercises.</w:t>
      </w:r>
    </w:p>
    <w:p>
      <w:pPr>
        <w:spacing w:after="0" w:line="20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Substantially all of our consumer revenue is derived from consumer learners’ enrollment to individual courses on our online platform. Our payment terms generally require advance payment through the use of a credit card. Once a successful course enrollment purchase transaction is completed, we grant the learner lifetime access to the purchased course content on the online platform, which can be accessed and consumed by the learners on an on-demand basis even if an instructor later unpublishes the course. We recognize consumer revenue for single course purchases ratably over an estimated four-month service period for a learner’s consumption of marketplace course content.</w:t>
      </w:r>
    </w:p>
    <w:p>
      <w:pPr>
        <w:spacing w:after="0" w:line="20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In 2019 and 2020, 82% and 76%, respectively, of our revenue was derived from our consumer offering. For the six months ended June 30, 2020 and 2021, 78% and 69%, respectively, of our revenue was derived from our consumer offering.</w:t>
      </w:r>
    </w:p>
    <w:p>
      <w:pPr>
        <w:spacing w:after="0" w:line="179"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i w:val="1"/>
          <w:iCs w:val="1"/>
          <w:color w:val="auto"/>
        </w:rPr>
        <w:t xml:space="preserve">Udemy Business. </w:t>
      </w:r>
      <w:r>
        <w:rPr>
          <w:rFonts w:ascii="Arial" w:cs="Arial" w:eastAsia="Arial" w:hAnsi="Arial"/>
          <w:sz w:val="18"/>
          <w:szCs w:val="18"/>
          <w:color w:val="auto"/>
        </w:rPr>
        <w:t>UB helps over 8,600 global customers, including companies, non-profit organizations and government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the learning needs of their talent bases, drawn by the real-world expertise and experience of our instructors. Out of our platform’s deep content catalog, we have curated over 11,000 of the most highly engaging and relevant courses, purposely selected to meet the needs and standards of these companies, organizations and agencies. We undergo a rigorous selection process across a wide set of criteria in determining the courses that will be offered as part of our UB offerings, including learner feedback and rating, relevancy of topic covered, quality of the content, and instructor experience.</w:t>
      </w:r>
    </w:p>
    <w:p>
      <w:pPr>
        <w:spacing w:after="0" w:line="20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Revenue from our UB offering is derived from the sale of subscriptions to our UB customers, which provide on-demand access to a catalog of courses over a subscription term, as well as additional features and functionalities such as single sign-on, analytics and strategic learning path management functionality. The majority of our customers subscribe to our UB offering through one-year contracts, although a growing number of our customers subscribe through multi-year contracts. Subscription fees are primarily based on the number of license seats. We source our customer leads through a combination of field marketing and leveraging our existing learner base. Our growing consumer learner base and course offerings allow us to identify customer prospects, provide data and insights, increase operating scale, improve search engine optimization performance and provide an effective and efficient way to identify quality courses for our UB offerings. We sell subscriptions to our platform to customers primarily through our direct sales team, who identify and engage with potential customers. Once a customer has adopted our platform, we focus not only on driving continued use of our offerings by that customer, but also expanding the relationship by increasing the number of license seats sold to that customer.</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In 2019 and 2020, 18% and 24%, respectively, of our revenue was derived from our UB offering. For the six months ended June 30, 2020 and 2021, 22% and 31% of our revenue was derived from our UB offering.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business metrics</w:t>
      </w:r>
    </w:p>
    <w:p>
      <w:pPr>
        <w:spacing w:after="0" w:line="130"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In addition to the measures presented in our consolidated financial statements, we use the key business metrics identified below to help us assess the health of our community, evaluate our business, identify trends affecting our business, formulate business plans, and make strategic decisions.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Monthly average buyers</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 buyer is a consumer who purchases a course or subscription through our direct-to-consumer offering. Monthly average buyers is calculated as the average of monthly buyers during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For the years ended December 31, 2019 and 2020, we had 962 and 1,439 thousand monthly average buyers, respectively. For the six months ended June 30, 2020 and 2021, we had 1,521 and 1,364 thousand monthly average buyers,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147320</wp:posOffset>
            </wp:positionV>
            <wp:extent cx="5460365" cy="3206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036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Udemy Business customers</w:t>
      </w:r>
    </w:p>
    <w:p>
      <w:pPr>
        <w:spacing w:after="0" w:line="12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existence of a domestic ultimate parent. This often occurs where the domestic ultimate parent is a financial owner, government entity,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As of December 31, 2019 and 2020, we had 5,174 and 7,300 UB customers, respectively. As of June 30, 2020 and 2021, we had 6,396 and 8,669 customers,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149860</wp:posOffset>
            </wp:positionV>
            <wp:extent cx="5469255" cy="3188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6925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Udemy Business Annual Recurring Revenue</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disclose our UB Annual Recurring Revenue, or ARR, as a measure of our enterprise revenue growth. ARR represents the annualized value of our UB customer contracts on the last day of a given period. Only revenue from closed UB contracts with active seats as of the last day of the period are included. As of December 31, 2019 and 2020, our ARR was $75.1 million and $137.6 million, respectively. As of June 30, 2020 and 2021, our ARR was $100.8 million and $181.9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147955</wp:posOffset>
            </wp:positionV>
            <wp:extent cx="5469255" cy="3180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6925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Udemy Business Net Dollar Retention Rate</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disclose our UB Net Dollar Retention Rate, or NDRR, as a measure of our enterprise revenue growth. We believe NDRR is an important metric that provides insight into the long-term value of our subscription agreements and our ability to retain, and grow revenue from, our UB customers. To calculate NDRR, we begin with UB customers who are active at the beginning of a twelve-month period. Then, we divide the ending annualized recurring revenue, or ARR, for those same UB customers at the end of the twelve-month period by the total ARR for those UB customers at the beginning of that twelve-month period. We calculate ARR as the total annualized run-rate revenue of all UB customers with active licenses on the last day of a given period. Our NDRR is expected to fluctuate in future periods due to a number of factors, including the growth of our revenue base, the penetration within our learner base, expansion of products and features, and our ability to retain our UB customers. As of December 31, 2019 and 2020, our NDRR was 132% and 118%, respectively. As of June 30, 2020 and 2021, our NDRR was 123% and 121%, respectively.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Revenue and Segment Gross Profit</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revenue is generated from our consumer and UB offerings, each of which is an individual segment of our business. Segment Revenue represents the revenue recognized from each of these offerings and is a key measure of the performance of our platform, and in turn drives our financial performance. We also monitor Segment Gross Profit as a key metric to help evaluate the financial performance of our individual segments and our business as a whole. Segment Gross Profit is defined as Segment Revenue less Segment Costs of Revenue, which include content costs, hosting and platform costs, customer support services, and payment processing fees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that are allocable to each segment. Segment Gross Profit excludes amortization of capitalized software, depreciation, and stock-based compensation allocated to cost of revenues as our chief operating decision maker does not include the information in his measurement of the performance of the operating segments. Content costs, which are payments made to our instructors, are the largest individual component of Segment Cost of Revenue. We expect to increase the percentage of our revenue derived from our enterprise segment over time, which we expect will improve our gross margins.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3"/>
                <w:szCs w:val="13"/>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4"/>
                <w:szCs w:val="14"/>
                <w:b w:val="1"/>
                <w:bCs w:val="1"/>
                <w:color w:val="auto"/>
              </w:rPr>
              <w:t>Segment Revenue and Segment Gross Profit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720" w:type="dxa"/>
            <w:vAlign w:val="bottom"/>
            <w:shd w:val="clear" w:color="auto" w:fill="DDDDDD"/>
          </w:tcPr>
          <w:p>
            <w:pPr>
              <w:ind w:left="280"/>
              <w:spacing w:after="0"/>
              <w:rPr>
                <w:sz w:val="20"/>
                <w:szCs w:val="20"/>
                <w:color w:val="auto"/>
              </w:rPr>
            </w:pPr>
            <w:r>
              <w:rPr>
                <w:rFonts w:ascii="Arial" w:cs="Arial" w:eastAsia="Arial" w:hAnsi="Arial"/>
                <w:sz w:val="14"/>
                <w:szCs w:val="14"/>
                <w:color w:val="auto"/>
              </w:rPr>
              <w:t>Consumer Segment Revenue</w:t>
            </w:r>
          </w:p>
        </w:tc>
        <w:tc>
          <w:tcPr>
            <w:tcW w:w="3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225,500</w:t>
            </w:r>
          </w:p>
        </w:tc>
        <w:tc>
          <w:tcPr>
            <w:tcW w:w="50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326,454</w:t>
            </w:r>
          </w:p>
        </w:tc>
        <w:tc>
          <w:tcPr>
            <w:tcW w:w="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157,257</w:t>
            </w:r>
          </w:p>
        </w:tc>
        <w:tc>
          <w:tcPr>
            <w:tcW w:w="44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171,837</w:t>
            </w:r>
          </w:p>
        </w:tc>
      </w:tr>
      <w:tr>
        <w:trPr>
          <w:trHeight w:val="210"/>
        </w:trPr>
        <w:tc>
          <w:tcPr>
            <w:tcW w:w="5720" w:type="dxa"/>
            <w:vAlign w:val="bottom"/>
          </w:tcPr>
          <w:p>
            <w:pPr>
              <w:ind w:left="280"/>
              <w:spacing w:after="0"/>
              <w:rPr>
                <w:sz w:val="20"/>
                <w:szCs w:val="20"/>
                <w:color w:val="auto"/>
              </w:rPr>
            </w:pPr>
            <w:r>
              <w:rPr>
                <w:rFonts w:ascii="Arial" w:cs="Arial" w:eastAsia="Arial" w:hAnsi="Arial"/>
                <w:sz w:val="14"/>
                <w:szCs w:val="14"/>
                <w:color w:val="auto"/>
              </w:rPr>
              <w:t>Consumer Segment Gross Profit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106,831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160,650</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71,394</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90,474</w:t>
            </w:r>
          </w:p>
        </w:tc>
      </w:tr>
      <w:tr>
        <w:trPr>
          <w:trHeight w:val="222"/>
        </w:trPr>
        <w:tc>
          <w:tcPr>
            <w:tcW w:w="5720" w:type="dxa"/>
            <w:vAlign w:val="bottom"/>
            <w:shd w:val="clear" w:color="auto" w:fill="DDDDDD"/>
          </w:tcPr>
          <w:p>
            <w:pPr>
              <w:ind w:left="280"/>
              <w:spacing w:after="0"/>
              <w:rPr>
                <w:sz w:val="20"/>
                <w:szCs w:val="20"/>
                <w:color w:val="auto"/>
              </w:rPr>
            </w:pPr>
            <w:r>
              <w:rPr>
                <w:rFonts w:ascii="Arial" w:cs="Arial" w:eastAsia="Arial" w:hAnsi="Arial"/>
                <w:sz w:val="14"/>
                <w:szCs w:val="14"/>
                <w:color w:val="auto"/>
              </w:rPr>
              <w:t>Enterprise Segment Revenue</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50,827</w:t>
            </w:r>
          </w:p>
        </w:tc>
        <w:tc>
          <w:tcPr>
            <w:tcW w:w="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8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103,445</w:t>
            </w:r>
          </w:p>
        </w:tc>
        <w:tc>
          <w:tcPr>
            <w:tcW w:w="20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44,111</w:t>
            </w:r>
          </w:p>
        </w:tc>
        <w:tc>
          <w:tcPr>
            <w:tcW w:w="440" w:type="dxa"/>
            <w:vAlign w:val="bottom"/>
            <w:shd w:val="clear" w:color="auto" w:fill="DDDDDD"/>
          </w:tcPr>
          <w:p>
            <w:pPr>
              <w:spacing w:after="0"/>
              <w:rPr>
                <w:sz w:val="19"/>
                <w:szCs w:val="19"/>
                <w:color w:val="auto"/>
              </w:rPr>
            </w:pPr>
          </w:p>
        </w:tc>
        <w:tc>
          <w:tcPr>
            <w:tcW w:w="8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78,806</w:t>
            </w:r>
          </w:p>
        </w:tc>
      </w:tr>
      <w:tr>
        <w:trPr>
          <w:trHeight w:val="204"/>
        </w:trPr>
        <w:tc>
          <w:tcPr>
            <w:tcW w:w="5720" w:type="dxa"/>
            <w:vAlign w:val="bottom"/>
          </w:tcPr>
          <w:p>
            <w:pPr>
              <w:ind w:left="280"/>
              <w:spacing w:after="0"/>
              <w:rPr>
                <w:sz w:val="20"/>
                <w:szCs w:val="20"/>
                <w:color w:val="auto"/>
              </w:rPr>
            </w:pPr>
            <w:r>
              <w:rPr>
                <w:rFonts w:ascii="Arial" w:cs="Arial" w:eastAsia="Arial" w:hAnsi="Arial"/>
                <w:sz w:val="14"/>
                <w:szCs w:val="14"/>
                <w:color w:val="auto"/>
              </w:rPr>
              <w:t>Enterprise Segment Gross Profit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31,921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67,926</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29,070</w:t>
            </w:r>
          </w:p>
        </w:tc>
        <w:tc>
          <w:tcPr>
            <w:tcW w:w="4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51,393</w:t>
            </w:r>
          </w:p>
        </w:tc>
      </w:tr>
    </w:tbl>
    <w:p>
      <w:pPr>
        <w:spacing w:after="0" w:line="1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30" w:lineRule="exact"/>
        <w:rPr>
          <w:sz w:val="20"/>
          <w:szCs w:val="20"/>
          <w:color w:val="auto"/>
        </w:rPr>
      </w:pPr>
    </w:p>
    <w:p>
      <w:pPr>
        <w:ind w:left="120" w:right="480"/>
        <w:spacing w:after="0"/>
        <w:rPr>
          <w:sz w:val="20"/>
          <w:szCs w:val="20"/>
          <w:color w:val="auto"/>
        </w:rPr>
      </w:pPr>
      <w:r>
        <w:rPr>
          <w:rFonts w:ascii="Arial" w:cs="Arial" w:eastAsia="Arial" w:hAnsi="Arial"/>
          <w:sz w:val="18"/>
          <w:szCs w:val="18"/>
          <w:color w:val="auto"/>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attract and engage new learners and Udemy Business customers</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To grow our business, we must attract new learners and UB customers efficiently and increase engagement on our platform over time. From inception through June 30, 2021, we registered over 44 million learners from more than 180 countries, attracted over 8,600 UB customers, and facilitated 594 million course enrollments. We added over 13 million new learners during 2020, representing annual growth of our total learner base of 53%. We added over 7 million and over 6 million new learners during the six months ended June 30, 2020 and 2021, respectively. We added fewer new learners during the six months ended June 30, 2021 in comparison to the same period in the prior period due to accelerated growth in the number of learners and UB customers as a result of the COVID-19 pandemic in the second quarter of 2020.</w:t>
      </w:r>
    </w:p>
    <w:p>
      <w:pPr>
        <w:spacing w:after="0" w:line="20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acquire a substantial portion of our learners via organic channels and also use paid marketing to further enhance the growth of our learner base. Our organic channels include those outside of our paid market efforts, such as a Udemy brand name internet search. Once we bring new learners onto our platform, we work to create a best-in-class experience to encourage engagement and drive learning and career outcomes.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retain and expand our existing learner and customer relationships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efforts to grow our existing relationships with our consumer learners are focused on increasing their engagement and converting free learners into buyers. New learners to our platform typically begin to engage with our free courses, which serve as a funnel to grow our total learner base and drive referrals to our paid other offerings. 83% of consumer learner course enrollments on our platform were free, resulting in 456 million cumulative free course enrollments and over 28 million hours of free courses consumed. We constantly analyze data gathered on our platform to better determine our learners’ most relevant needs, which helps us match learners with relevant courses and learning paths, driving higher satisfaction, increasing enrollments, and converting learners into buyers. We highlight key features that encourage conversion to our paid offerings through our marketing efforts, which include campaigns targeting existing learners, personalized recommendations, and performance marketing across leading social media platforms. Once a learner enrolls in a course, we strive to provide an effective learning experience through labs, and the ability for learners to communicate with instructors for expedient answers to their questions and through interactive exercises.</w:t>
      </w:r>
    </w:p>
    <w:p>
      <w:pPr>
        <w:spacing w:after="0" w:line="206"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Our efforts to grow our UB offering are focused primarily on corporate and government customers. We deploy a land-and-expand strategy with our UB customers that focuses on acquiring new customers and efficiently growing</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relationships with existing customers, beginning with either individual users or departmental deployments. Historically, we have expanded from individual to department to multi-department to enterprise-wide sales as our value is proven. Building upon this success, we believe a significant opportunity exists for us to acquire new UB customers and expand our existing UB customers’ use of our platform by identifying new use cases and increasing the size of existing deployments.</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often enter into customized contractual arrangements with our UB customers in which we offer more favorable pricing terms in exchange for larger total contract values that accompany larger deployments. As we drive a greater portion of our revenue through our deployments with UB customers, we expect that our revenue will continue to grow significantly, but the price we charge UB customers per seat may decline, which could reduce margins in the future. Our business and results of operations will depend on our ability to continue to drive higher usage of our platform within our existing customer base and our ability to add new customers.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source in-demand content from our instructors</w:t>
      </w:r>
    </w:p>
    <w:p>
      <w:pPr>
        <w:spacing w:after="0" w:line="126"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We believe that learners and UB customers are attracted to Udemy largely because of the high quality and wide selection of content our instructors offer. Continuing to source in-demand content and credentials from our instructors will be an important factor in attracting learners and UB customers and growing our revenue over time.</w:t>
      </w:r>
    </w:p>
    <w:p>
      <w:pPr>
        <w:spacing w:after="0" w:line="20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As of June 30, 2021, we attracted over 65,000 instructors from around the world to our platform. Instructors share their knowledge on Udemy for a myriad of reasons, from financial to brand-building to giving back. We believe instructors are attracted to Udemy because we offer access to a global market with over 44 million learners. Our model allows instructors who elect to charge for courses to share directly in the economic upside of the course content they contribute and the growth of our platform. We have an aligned incentive model where payments to instructors are proportional to course sales on our platform. In 2020, our paid instructors earned $161.4 million from Udemy for their courses, with average paid instructor earnings of $2,950 and over 9,000 global instructors receiving more than $1,000 in earnings. In the six months ended June 30, 2021, our paid instructors earned $86.8 million from Udemy for their courses, with average paid instructor earnings of $1,574 and over 6,000 global instructors receiving more than $1,000 in earnings. The breadth of instructors and courses contributes to the wide variety of content topics available on our platform, as well as meaningful depth within most content categories. We believe that this combination of breadth and depth helps foster competition and choice on our platform and attracts learners and enterprise customers. We enable instructors to innovate and engage on our platform by giving instructors proprietary tools including marketplace insights, the ability to review feedback from learners, and dashboards to help generate more relevant content and manage their brand and course marketing. When we offer content as part of the UB and consumer subscription offerings, our instructors agree to contribute such content exclusively through our platform, as discussed elsewhere in this prospectus, which we believe demonstrates our ability to increase the value of our platform through unique content. We experienced minimal turnover among top instructors in 2019, 2020, and the six months ended June 30, 2021.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mix of consumer and enterprise segments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mix of business among our consumer and enterprise segments is shifting, and this shift will affect our financial performance. We incur content costs in the form of payments to our instructors, generally determined as a percentage of total revenue generated from their content. These costs totaled $109.2 million in 2019, $161.4 million in 2020, and $81.1 million and $86.7 million in the six months ended June 30, 2020 and 2021, respectively, or 40%, 38%, 40%, and 35% of total revenue, respectively. Content costs, which are included in our cost of revenue, vary significantly for our different offerings. For our enterprise segment, content costs are incurred based on a percentage of total subscription revenue which is allocated to instructors pro rata based on consumption of their content. Content costs in our consumer segment were historically primarily driven by whether the learner is acquired organically, through Udemy’s marketing efforts, or by an instructor coupon. Beginning in May 2021, content costs for our consumer segment will be the same whether learners are acquired organically or through Udemy’s marketing efforts. Content costs historically have been and will continue to be substantially highest for learners acquired by instructor coupon compared to learners acquired through Udemy’s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marketing efforts. Content costs for our enterprise segment are lower relative to our consumer segment. The mix of customer acquisition methods in our consumer segment will substantially impact our financial performance. In 2020, content costs as a percentage of revenue were 42% for our consumer segment and 25% for our enterprise segment. In the six months ended June 30, 2021, content costs as a percentage of revenue were 39% for our consumer segment and 25% for our enterprise segment. We presently expect that revenue from our enterprise segment will grow faster than our consumer segment, which will be beneficial to our overall margins.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expand our international footprint</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generated 59% and 61% of our revenue outside North America in 2019 and 2020, respectively, and 60% and 61% during the six months ended June 30, 2020 and 2021, respectively. We see a significant opportunity to expand our offerings into regions with large underserved adult learning populations. We have invested, and plan to continue to invest, in personnel and marketing efforts to support our international growth and expand our international operations as part of our strategy to grow our customer and learner base, particularly among our UB customers.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investment in growth</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are actively investing in our business as we believe that we are only beginning to penetrate our market opportunity, and we intend to continue to invest in our future growth. We anticipate that our operating expenses will increase as we continue to build our sales and marketing efforts, expand our course catalog, expand our employee base, and invest in our technology development. The investments we make in our platform are designed to address relevant topics for our existing learners and to attract new learners to our platform to grow our revenue opportunity and to improve our operating results in the long term. Any investments we make in our sales and marketing organization, in encouraging the development of new content, and in expanding our platform offerings and capabilities, will occur in advance of the benefits from such investments, making it difficult to determine if we are efficiently allocating our resources in these areas.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Pace of adoption of cloud-based skill development solutions</w:t>
      </w:r>
    </w:p>
    <w:p>
      <w:pPr>
        <w:spacing w:after="0" w:line="12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Furthermore, we believe that we have established a leadership position in the market for cloud-based technology learning. However, it is difficult to predict customer adoption rates and demand, the future growth rate and size of the market for cloud-based skill development solutions, or the entry of competitive solutions.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In March 2020, the World Health Organization declared the outbreak of COVID-19 a pandemic. To limit the spread of the virus, governments have imposed various restrictions, including emergency declarations at the federal, state and local levels, school and business closings, quarantines, “shelter at home” orders, restrictions on travel and trade, limitations on social or public gatherings and other social distancing measures.</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have taken precautionary measures intended to help minimize the risk of COVID-19 to our employees, including transitioning the majority of our employees to remote work and restricting business travel, which have contributed to immaterial decreases in our operating expenses, primarily travel and entertainment expense. We believe that our ability to meet the needs of our customers, end users and instructors has not been materially affected by these precautions. We have not incurred any material increases in our operating expenses as a result of the COVID-19 pandemic.</w:t>
      </w:r>
    </w:p>
    <w:p>
      <w:pPr>
        <w:spacing w:after="0" w:line="202"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With the COVID-19 pandemic, there has been a significant increase in the adoption of online learning solutions, a trend we believe will continue over the long-term. We believe that this heightened demand for online learning</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solutions from individuals and businesses contributed in part to the significant increase in revenue we experienced beginning in the second quarter of 2020. However, we are not able to quantify the proportion of the increase in revenue that is attributable to the COVID-19 pandemic as opposed to other factors contributing to our growth in recent periods. Furthermore, the circumstances that have accelerated the growth of our business during the COVID-19 pandemic may not continue in the future, and the growth rate of our revenue, as well as our learner and customer base, may decline in future periods as the effects of the COVID-19 pandemic abate.</w:t>
      </w:r>
    </w:p>
    <w:p>
      <w:pPr>
        <w:spacing w:after="0" w:line="20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extent to which the COVID-19 pandemic impacts our business depends on future developments that are highly uncertain and cannot be predicted at this time. For more information, see “Risk factors—Risks related to our business and operations—The COVID-19 pandemic could affect our business, financial condition, and results of operations in volatile and unpredictable ways.”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26"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We derive revenues from contracts with paid consumer learners and UB customers from access to our online learning platform. We recognize revenue from both our paid consumer learners and UB customers.</w:t>
      </w:r>
    </w:p>
    <w:p>
      <w:pPr>
        <w:spacing w:after="0" w:line="19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Consumer revenue consists of individual course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lifetime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the estimated service period. Revenue is recognized ratably over the estimated service period for consumer marketplace revenue, which is four months from the date of enrollment and over the contractual subscription term for consumer subscription customers.</w:t>
      </w:r>
    </w:p>
    <w:p>
      <w:pPr>
        <w:spacing w:after="0" w:line="20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Enterprise revenue primarily relates to enterprise license subscription contracts with annual or multi-year subscription terms. Enterprise subscriptions are generally billed in advance on a quarterly or annual basis. Subscription revenue excludes any taxes to be remitted to governmental authorities. Access to the Udemy platform represents a series of distinct services as we continually provide access to course content and fulfill our obligation to the UB customer over the subscription term. Because the series of distinct services represents a single performance obligation that is satisfied over time, we recognize revenue ratably over the contractual subscription term.</w:t>
      </w:r>
    </w:p>
    <w:p>
      <w:pPr>
        <w:spacing w:after="0" w:line="202"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We are the principal with respect to revenue generated from sales to consumer and UB customers as we control the performance obligation and are the primary obligor with respect to delivering access to content to our customers.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Cost of revenues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Content costs as a percentage of revenue for our UB and consumer subscription offerings are lower relative to individual course content purchases in our consumer offering. As a result, shifts in the mix between our two offerings is expected to be a significant driver of our content costs. Content costs are recorded as cost of revenue in the period earned by our instructors. For consumer single course purchases, content costs are incurred at the time of purchase. As consumer course content revenue is recognized ratably over an estimated service period of four months, consumer gross margins are lower in the period of purchase, and higher in the remaining periods of the estimated service period over which revenue is recognized. For our subscription based UB offering, content costs are incurred based on monthly subscription fees, and margins are more stable from period to period.</w:t>
      </w:r>
    </w:p>
    <w:p>
      <w:pPr>
        <w:spacing w:after="0" w:line="20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Cost of revenue also includes payment and mobile processing fees, costs associated with hosting digital content, and employee related expenses for our customer support organization, including salaries, benefits, stock-based compensation, facilities and other expenses, depreciation of network equipment, and amortization of capitalized software. We expect cost of revenue to generally decrease as a percentage of revenue as we increase the percentage of revenue derived from our UB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Although our operating expenses may fluctuate from period to period, we currently expect our operating expenses to increase in absolute dollars over time.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2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sales and marketing expenses consist primarily of direct advertising and promotions costs, as well as personnel and personnel-related costs, including stock-based compensation and costs related to customer and instructor acquisition, customer support efforts, and brand marketing. Sales and marketing expenses also consist of costs incurred for hosting and customer support services related to providing our platform to free learners. We expect sales and marketing expenses to increase in absolute dollars as our business grows. In addition, we expect sales and marketing expenses as a percentage of revenue to vary from period to period but generally decrease over the long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research and development expenses consist primarily of personnel and personnel-related costs, including stock-based compensation and costs related to the ongoing management, maintenance, and expansion of features and services offered on our platform. Research and development costs also include contracted services, supplies, and other miscellaneous expenses. We believe that continued investment in our platform is important to our future growth and to maintain and attract learners to our platform. As a result, we expect research and development expenses to increase in absolute dollars. In addition, we expect research and development expenses as a percentage of revenue to vary from period to period but generally decrease over the long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Our general and administrative expenses consist primarily of personnel and personnel-related costs, including stock-based compensation and costs related to our executive, legal, finance, and human resources departments, as well as charges for indirect tax reserves, bad debt expense, professional fees, and other corporate expenses.</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Following the closing of this offering, 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general and administrative expenses to</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increase in absolute dollars as our business grows. In addition, we expect general and administrative expenses as a percentage of revenue to vary from period to period but generally decrease over the long term.</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Interest income (expense), net consists primarily of interest income earned on our cash, cash equivalents, and marketable securities. It also includes amortization of premiums and accretion of discounts related to our marketable securities. Interest income varies each reporting period based on our average balance of cash, cash equivalents, and marketable securities during the period and market interest rates. Interest expense consists primarily of interest expense recorded related to certain indirect tax reserves. Interest income and interest expense were each immaterial for the periods presented.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(expense), net consists primarily of foreign currency transaction gains and losses.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130"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following table summarizes our results of operations for the periods presented. The results below are not necessarily indicative of results to be expected for future periods.</w:t>
      </w:r>
    </w:p>
    <w:p>
      <w:pPr>
        <w:sectPr>
          <w:pgSz w:w="11900" w:h="16838" w:orient="portrait"/>
          <w:cols w:equalWidth="0" w:num="1">
            <w:col w:w="11140"/>
          </w:cols>
          <w:pgMar w:left="320" w:top="459" w:right="439" w:bottom="1440" w:gutter="0" w:footer="0" w:header="0"/>
        </w:sectPr>
      </w:pP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8890</wp:posOffset>
            </wp:positionV>
            <wp:extent cx="1705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9" w:lineRule="exact"/>
        <w:rPr>
          <w:sz w:val="20"/>
          <w:szCs w:val="20"/>
          <w:color w:val="auto"/>
        </w:rPr>
      </w:pPr>
    </w:p>
    <w:p>
      <w:pPr>
        <w:ind w:left="5980"/>
        <w:spacing w:after="0"/>
        <w:tabs>
          <w:tab w:leader="none" w:pos="7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0</wp:posOffset>
            </wp:positionV>
            <wp:extent cx="17056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Six Months Ended 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r>
      <w:tr>
        <w:trPr>
          <w:trHeight w:val="153"/>
        </w:trPr>
        <w:tc>
          <w:tcPr>
            <w:tcW w:w="840" w:type="dxa"/>
            <w:vAlign w:val="bottom"/>
          </w:tcPr>
          <w:p>
            <w:pPr>
              <w:spacing w:after="0"/>
              <w:rPr>
                <w:sz w:val="13"/>
                <w:szCs w:val="13"/>
                <w:color w:val="auto"/>
              </w:rPr>
            </w:pPr>
          </w:p>
        </w:tc>
        <w:tc>
          <w:tcPr>
            <w:tcW w:w="1900" w:type="dxa"/>
            <w:vAlign w:val="bottom"/>
          </w:tcPr>
          <w:p>
            <w:pPr>
              <w:jc w:val="right"/>
              <w:ind w:right="808"/>
              <w:spacing w:after="0" w:line="153" w:lineRule="exact"/>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p>
    <w:p>
      <w:pPr>
        <w:sectPr>
          <w:pgSz w:w="11900" w:h="16838" w:orient="portrait"/>
          <w:cols w:equalWidth="0" w:num="2">
            <w:col w:w="7720" w:space="620"/>
            <w:col w:w="2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98"/>
        </w:trPr>
        <w:tc>
          <w:tcPr>
            <w:tcW w:w="5280" w:type="dxa"/>
            <w:vAlign w:val="bottom"/>
            <w:shd w:val="clear" w:color="auto" w:fill="DDDDDD"/>
          </w:tcPr>
          <w:p>
            <w:pPr>
              <w:ind w:left="260"/>
              <w:spacing w:after="0"/>
              <w:rPr>
                <w:sz w:val="20"/>
                <w:szCs w:val="20"/>
                <w:color w:val="auto"/>
              </w:rPr>
            </w:pPr>
            <w:r>
              <w:rPr>
                <w:rFonts w:ascii="Arial" w:cs="Arial" w:eastAsia="Arial" w:hAnsi="Arial"/>
                <w:sz w:val="14"/>
                <w:szCs w:val="14"/>
                <w:b w:val="1"/>
                <w:bCs w:val="1"/>
                <w:color w:val="auto"/>
              </w:rPr>
              <w:t>Consolidated statements of operations</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Revenues</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276,327</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429,899</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201,368</w:t>
            </w:r>
          </w:p>
        </w:tc>
        <w:tc>
          <w:tcPr>
            <w:tcW w:w="5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250,643</w:t>
            </w:r>
          </w:p>
        </w:tc>
        <w:tc>
          <w:tcPr>
            <w:tcW w:w="60" w:type="dxa"/>
            <w:vAlign w:val="bottom"/>
          </w:tcPr>
          <w:p>
            <w:pPr>
              <w:spacing w:after="0"/>
              <w:rPr>
                <w:sz w:val="14"/>
                <w:szCs w:val="14"/>
                <w:color w:val="auto"/>
              </w:rPr>
            </w:pPr>
          </w:p>
        </w:tc>
      </w:tr>
      <w:tr>
        <w:trPr>
          <w:trHeight w:val="223"/>
        </w:trPr>
        <w:tc>
          <w:tcPr>
            <w:tcW w:w="5280" w:type="dxa"/>
            <w:vAlign w:val="bottom"/>
            <w:tcBorders>
              <w:bottom w:val="single" w:sz="8" w:color="DDDDDD"/>
            </w:tcBorders>
            <w:shd w:val="clear" w:color="auto" w:fill="DDDDDD"/>
          </w:tcPr>
          <w:p>
            <w:pPr>
              <w:ind w:left="260"/>
              <w:spacing w:after="0" w:line="216" w:lineRule="exact"/>
              <w:rPr>
                <w:sz w:val="20"/>
                <w:szCs w:val="20"/>
                <w:color w:val="auto"/>
              </w:rPr>
            </w:pPr>
            <w:r>
              <w:rPr>
                <w:rFonts w:ascii="Arial" w:cs="Arial" w:eastAsia="Arial" w:hAnsi="Arial"/>
                <w:sz w:val="14"/>
                <w:szCs w:val="14"/>
                <w:color w:val="auto"/>
              </w:rPr>
              <w:t xml:space="preserve">Cost of revenues </w:t>
            </w:r>
            <w:r>
              <w:rPr>
                <w:rFonts w:ascii="Arial" w:cs="Arial" w:eastAsia="Arial" w:hAnsi="Arial"/>
                <w:sz w:val="24"/>
                <w:szCs w:val="24"/>
                <w:color w:val="auto"/>
                <w:vertAlign w:val="superscript"/>
              </w:rPr>
              <w:t>(1)</w:t>
            </w:r>
          </w:p>
        </w:tc>
        <w:tc>
          <w:tcPr>
            <w:tcW w:w="10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143,510</w:t>
            </w:r>
          </w:p>
        </w:tc>
        <w:tc>
          <w:tcPr>
            <w:tcW w:w="14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209,253</w:t>
            </w:r>
          </w:p>
        </w:tc>
        <w:tc>
          <w:tcPr>
            <w:tcW w:w="16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104,670</w:t>
            </w:r>
          </w:p>
        </w:tc>
        <w:tc>
          <w:tcPr>
            <w:tcW w:w="14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113,916</w:t>
            </w:r>
          </w:p>
        </w:tc>
        <w:tc>
          <w:tcPr>
            <w:tcW w:w="60" w:type="dxa"/>
            <w:vAlign w:val="bottom"/>
            <w:tcBorders>
              <w:bottom w:val="single" w:sz="8" w:color="DDDDDD"/>
            </w:tcBorders>
            <w:shd w:val="clear" w:color="auto" w:fill="DDDDDD"/>
          </w:tcPr>
          <w:p>
            <w:pPr>
              <w:spacing w:after="0"/>
              <w:rPr>
                <w:sz w:val="19"/>
                <w:szCs w:val="19"/>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132,817</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220,646</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96,698</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136,727</w:t>
            </w:r>
          </w:p>
        </w:tc>
        <w:tc>
          <w:tcPr>
            <w:tcW w:w="60" w:type="dxa"/>
            <w:vAlign w:val="bottom"/>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280" w:type="dxa"/>
            <w:vAlign w:val="bottom"/>
            <w:shd w:val="clear" w:color="auto" w:fill="DDDDDD"/>
          </w:tcPr>
          <w:p>
            <w:pPr>
              <w:ind w:left="4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r>
      <w:tr>
        <w:trPr>
          <w:trHeight w:val="162"/>
        </w:trPr>
        <w:tc>
          <w:tcPr>
            <w:tcW w:w="5280" w:type="dxa"/>
            <w:vAlign w:val="bottom"/>
          </w:tcPr>
          <w:p>
            <w:pPr>
              <w:ind w:left="440"/>
              <w:spacing w:after="0" w:line="162"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126,436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192,600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96,176</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104,141</w:t>
            </w:r>
          </w:p>
        </w:tc>
        <w:tc>
          <w:tcPr>
            <w:tcW w:w="60" w:type="dxa"/>
            <w:vAlign w:val="bottom"/>
          </w:tcPr>
          <w:p>
            <w:pPr>
              <w:spacing w:after="0"/>
              <w:rPr>
                <w:sz w:val="14"/>
                <w:szCs w:val="14"/>
                <w:color w:val="auto"/>
              </w:rPr>
            </w:pPr>
          </w:p>
        </w:tc>
      </w:tr>
      <w:tr>
        <w:trPr>
          <w:trHeight w:val="216"/>
        </w:trPr>
        <w:tc>
          <w:tcPr>
            <w:tcW w:w="5280" w:type="dxa"/>
            <w:vAlign w:val="bottom"/>
            <w:shd w:val="clear" w:color="auto" w:fill="DDDDDD"/>
          </w:tcPr>
          <w:p>
            <w:pPr>
              <w:ind w:left="440"/>
              <w:spacing w:after="0" w:line="216"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4"/>
                <w:szCs w:val="24"/>
                <w:color w:val="auto"/>
                <w:vertAlign w:val="superscript"/>
              </w:rPr>
              <w:t>(1)</w:t>
            </w:r>
          </w:p>
        </w:tc>
        <w:tc>
          <w:tcPr>
            <w:tcW w:w="10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34,379</w:t>
            </w:r>
          </w:p>
        </w:tc>
        <w:tc>
          <w:tcPr>
            <w:tcW w:w="14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50,643</w:t>
            </w:r>
          </w:p>
        </w:tc>
        <w:tc>
          <w:tcPr>
            <w:tcW w:w="16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24,295</w:t>
            </w:r>
          </w:p>
        </w:tc>
        <w:tc>
          <w:tcPr>
            <w:tcW w:w="14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9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30,196</w:t>
            </w:r>
          </w:p>
        </w:tc>
        <w:tc>
          <w:tcPr>
            <w:tcW w:w="60" w:type="dxa"/>
            <w:vAlign w:val="bottom"/>
            <w:shd w:val="clear" w:color="auto" w:fill="DDDDDD"/>
          </w:tcPr>
          <w:p>
            <w:pPr>
              <w:spacing w:after="0"/>
              <w:rPr>
                <w:sz w:val="18"/>
                <w:szCs w:val="18"/>
                <w:color w:val="auto"/>
              </w:rPr>
            </w:pPr>
          </w:p>
        </w:tc>
      </w:tr>
      <w:tr>
        <w:trPr>
          <w:trHeight w:val="162"/>
        </w:trPr>
        <w:tc>
          <w:tcPr>
            <w:tcW w:w="5280" w:type="dxa"/>
            <w:vAlign w:val="bottom"/>
          </w:tcPr>
          <w:p>
            <w:pPr>
              <w:ind w:left="440"/>
              <w:spacing w:after="0" w:line="162"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40,033</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50,783</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26,035</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29,802</w:t>
            </w:r>
          </w:p>
        </w:tc>
        <w:tc>
          <w:tcPr>
            <w:tcW w:w="60" w:type="dxa"/>
            <w:vAlign w:val="bottom"/>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80" w:type="dxa"/>
            <w:vAlign w:val="bottom"/>
            <w:tcBorders>
              <w:bottom w:val="single" w:sz="8" w:color="DDDDDD"/>
            </w:tcBorders>
            <w:shd w:val="clear" w:color="auto" w:fill="DDDDDD"/>
          </w:tcPr>
          <w:p>
            <w:pPr>
              <w:ind w:left="6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200,848</w:t>
            </w:r>
          </w:p>
        </w:tc>
        <w:tc>
          <w:tcPr>
            <w:tcW w:w="14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294,026</w:t>
            </w:r>
          </w:p>
        </w:tc>
        <w:tc>
          <w:tcPr>
            <w:tcW w:w="16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146,506</w:t>
            </w:r>
          </w:p>
        </w:tc>
        <w:tc>
          <w:tcPr>
            <w:tcW w:w="14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164,139</w:t>
            </w:r>
          </w:p>
        </w:tc>
        <w:tc>
          <w:tcPr>
            <w:tcW w:w="60" w:type="dxa"/>
            <w:vAlign w:val="bottom"/>
            <w:tcBorders>
              <w:bottom w:val="single" w:sz="8" w:color="DDDDDD"/>
            </w:tcBorders>
            <w:shd w:val="clear" w:color="auto" w:fill="DDDDDD"/>
          </w:tcPr>
          <w:p>
            <w:pPr>
              <w:spacing w:after="0"/>
              <w:rPr>
                <w:sz w:val="18"/>
                <w:szCs w:val="18"/>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(68,031)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(73,380)</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(49,808)</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(27,412)</w:t>
            </w:r>
          </w:p>
        </w:tc>
        <w:tc>
          <w:tcPr>
            <w:tcW w:w="60" w:type="dxa"/>
            <w:vAlign w:val="bottom"/>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2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9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r>
      <w:tr>
        <w:trPr>
          <w:trHeight w:val="162"/>
        </w:trPr>
        <w:tc>
          <w:tcPr>
            <w:tcW w:w="5280" w:type="dxa"/>
            <w:vAlign w:val="bottom"/>
          </w:tcPr>
          <w:p>
            <w:pPr>
              <w:ind w:left="440"/>
              <w:spacing w:after="0"/>
              <w:rPr>
                <w:sz w:val="20"/>
                <w:szCs w:val="20"/>
                <w:color w:val="auto"/>
              </w:rPr>
            </w:pPr>
            <w:r>
              <w:rPr>
                <w:rFonts w:ascii="Arial" w:cs="Arial" w:eastAsia="Arial" w:hAnsi="Arial"/>
                <w:sz w:val="14"/>
                <w:szCs w:val="14"/>
                <w:color w:val="auto"/>
              </w:rPr>
              <w:t>Interest income (expense), net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(391)</w:t>
            </w:r>
          </w:p>
        </w:tc>
        <w:tc>
          <w:tcPr>
            <w:tcW w:w="60" w:type="dxa"/>
            <w:vAlign w:val="bottom"/>
          </w:tcPr>
          <w:p>
            <w:pPr>
              <w:spacing w:after="0"/>
              <w:rPr>
                <w:sz w:val="14"/>
                <w:szCs w:val="14"/>
                <w:color w:val="auto"/>
              </w:rPr>
            </w:pPr>
          </w:p>
        </w:tc>
      </w:tr>
      <w:tr>
        <w:trPr>
          <w:trHeight w:val="223"/>
        </w:trPr>
        <w:tc>
          <w:tcPr>
            <w:tcW w:w="5280" w:type="dxa"/>
            <w:vAlign w:val="bottom"/>
            <w:tcBorders>
              <w:bottom w:val="single" w:sz="8" w:color="DDDDDD"/>
            </w:tcBorders>
            <w:shd w:val="clear" w:color="auto" w:fill="DDDDDD"/>
          </w:tcPr>
          <w:p>
            <w:pPr>
              <w:ind w:left="44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(384)</w:t>
            </w:r>
          </w:p>
        </w:tc>
        <w:tc>
          <w:tcPr>
            <w:tcW w:w="14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138</w:t>
            </w:r>
          </w:p>
        </w:tc>
        <w:tc>
          <w:tcPr>
            <w:tcW w:w="14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(518)</w:t>
            </w:r>
          </w:p>
        </w:tc>
        <w:tc>
          <w:tcPr>
            <w:tcW w:w="60" w:type="dxa"/>
            <w:vAlign w:val="bottom"/>
            <w:tcBorders>
              <w:bottom w:val="single" w:sz="8" w:color="DDDDDD"/>
            </w:tcBorders>
            <w:shd w:val="clear" w:color="auto" w:fill="DDDDDD"/>
          </w:tcPr>
          <w:p>
            <w:pPr>
              <w:spacing w:after="0"/>
              <w:rPr>
                <w:sz w:val="19"/>
                <w:szCs w:val="19"/>
                <w:color w:val="auto"/>
              </w:rPr>
            </w:pPr>
          </w:p>
        </w:tc>
      </w:tr>
      <w:tr>
        <w:trPr>
          <w:trHeight w:val="162"/>
        </w:trPr>
        <w:tc>
          <w:tcPr>
            <w:tcW w:w="5280" w:type="dxa"/>
            <w:vAlign w:val="bottom"/>
          </w:tcPr>
          <w:p>
            <w:pPr>
              <w:ind w:left="62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(876)</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w:t>
            </w:r>
          </w:p>
        </w:tc>
        <w:tc>
          <w:tcPr>
            <w:tcW w:w="60" w:type="dxa"/>
            <w:vAlign w:val="bottom"/>
          </w:tcPr>
          <w:p>
            <w:pPr>
              <w:spacing w:after="0"/>
              <w:rPr>
                <w:sz w:val="14"/>
                <w:szCs w:val="14"/>
                <w:color w:val="auto"/>
              </w:rPr>
            </w:pPr>
          </w:p>
        </w:tc>
      </w:tr>
      <w:tr>
        <w:trPr>
          <w:trHeight w:val="223"/>
        </w:trPr>
        <w:tc>
          <w:tcPr>
            <w:tcW w:w="528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Net loss before taxes</w:t>
            </w:r>
          </w:p>
        </w:tc>
        <w:tc>
          <w:tcPr>
            <w:tcW w:w="10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(68,328)</w:t>
            </w:r>
          </w:p>
        </w:tc>
        <w:tc>
          <w:tcPr>
            <w:tcW w:w="14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(74,471)</w:t>
            </w:r>
          </w:p>
        </w:tc>
        <w:tc>
          <w:tcPr>
            <w:tcW w:w="16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(50,684)</w:t>
            </w:r>
          </w:p>
        </w:tc>
        <w:tc>
          <w:tcPr>
            <w:tcW w:w="14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(28,321)</w:t>
            </w:r>
          </w:p>
        </w:tc>
        <w:tc>
          <w:tcPr>
            <w:tcW w:w="60" w:type="dxa"/>
            <w:vAlign w:val="bottom"/>
            <w:tcBorders>
              <w:bottom w:val="single" w:sz="8" w:color="DDDDDD"/>
            </w:tcBorders>
            <w:shd w:val="clear" w:color="auto" w:fill="DDDDDD"/>
          </w:tcPr>
          <w:p>
            <w:pPr>
              <w:spacing w:after="0"/>
              <w:rPr>
                <w:sz w:val="19"/>
                <w:szCs w:val="19"/>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Income tax provision</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(3,149)</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60" w:type="dxa"/>
            <w:vAlign w:val="bottom"/>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28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48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(69,703)</w:t>
            </w:r>
          </w:p>
        </w:tc>
        <w:tc>
          <w:tcPr>
            <w:tcW w:w="5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(77,620)</w:t>
            </w:r>
          </w:p>
        </w:tc>
        <w:tc>
          <w:tcPr>
            <w:tcW w:w="54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(52,450)</w:t>
            </w:r>
          </w:p>
        </w:tc>
        <w:tc>
          <w:tcPr>
            <w:tcW w:w="54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(29,380)</w:t>
            </w:r>
          </w:p>
        </w:tc>
        <w:tc>
          <w:tcPr>
            <w:tcW w:w="60" w:type="dxa"/>
            <w:vAlign w:val="bottom"/>
            <w:shd w:val="clear" w:color="auto" w:fill="DDDDDD"/>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Costs and expenses include stock-based compensation expense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5"/>
        </w:trPr>
        <w:tc>
          <w:tcPr>
            <w:tcW w:w="3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4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3"/>
          </w:tcPr>
          <w:p>
            <w:pPr>
              <w:jc w:val="right"/>
              <w:ind w:right="68"/>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3700" w:type="dxa"/>
            <w:vAlign w:val="bottom"/>
            <w:shd w:val="clear" w:color="auto" w:fill="DDDDDD"/>
          </w:tcPr>
          <w:p>
            <w:pPr>
              <w:spacing w:after="0"/>
              <w:rPr>
                <w:sz w:val="20"/>
                <w:szCs w:val="20"/>
                <w:color w:val="auto"/>
              </w:rPr>
            </w:pPr>
            <w:r>
              <w:rPr>
                <w:rFonts w:ascii="Arial" w:cs="Arial" w:eastAsia="Arial" w:hAnsi="Arial"/>
                <w:sz w:val="14"/>
                <w:szCs w:val="14"/>
                <w:color w:val="auto"/>
              </w:rPr>
              <w:t>Cost of revenues</w:t>
            </w:r>
          </w:p>
        </w:tc>
        <w:tc>
          <w:tcPr>
            <w:tcW w:w="1360" w:type="dxa"/>
            <w:vAlign w:val="bottom"/>
            <w:gridSpan w:val="2"/>
            <w:shd w:val="clear" w:color="auto" w:fill="DDDDDD"/>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299</w:t>
            </w:r>
          </w:p>
        </w:tc>
        <w:tc>
          <w:tcPr>
            <w:tcW w:w="1340" w:type="dxa"/>
            <w:vAlign w:val="bottom"/>
            <w:gridSpan w:val="2"/>
            <w:shd w:val="clear" w:color="auto" w:fill="DDDDDD"/>
          </w:tcPr>
          <w:p>
            <w:pPr>
              <w:jc w:val="right"/>
              <w:ind w:righ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418</w:t>
            </w:r>
          </w:p>
        </w:tc>
        <w:tc>
          <w:tcPr>
            <w:tcW w:w="9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DDDDDD"/>
          </w:tcPr>
          <w:p>
            <w:pPr>
              <w:jc w:val="right"/>
              <w:ind w:right="620"/>
              <w:spacing w:after="0"/>
              <w:rPr>
                <w:sz w:val="20"/>
                <w:szCs w:val="20"/>
                <w:color w:val="auto"/>
              </w:rPr>
            </w:pPr>
            <w:r>
              <w:rPr>
                <w:rFonts w:ascii="Arial" w:cs="Arial" w:eastAsia="Arial" w:hAnsi="Arial"/>
                <w:sz w:val="14"/>
                <w:szCs w:val="14"/>
                <w:color w:val="auto"/>
              </w:rPr>
              <w:t>191</w:t>
            </w:r>
          </w:p>
        </w:tc>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537</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Sales and marketing</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3,001</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7,518</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color w:val="auto"/>
              </w:rPr>
              <w:t>5,422</w:t>
            </w:r>
          </w:p>
        </w:tc>
        <w:tc>
          <w:tcPr>
            <w:tcW w:w="3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3,636</w:t>
            </w:r>
          </w:p>
        </w:tc>
      </w:tr>
      <w:tr>
        <w:trPr>
          <w:trHeight w:val="216"/>
        </w:trPr>
        <w:tc>
          <w:tcPr>
            <w:tcW w:w="3700" w:type="dxa"/>
            <w:vAlign w:val="bottom"/>
            <w:shd w:val="clear" w:color="auto" w:fill="DDDDDD"/>
          </w:tcPr>
          <w:p>
            <w:pPr>
              <w:spacing w:after="0"/>
              <w:rPr>
                <w:sz w:val="20"/>
                <w:szCs w:val="20"/>
                <w:color w:val="auto"/>
              </w:rPr>
            </w:pPr>
            <w:r>
              <w:rPr>
                <w:rFonts w:ascii="Arial" w:cs="Arial" w:eastAsia="Arial" w:hAnsi="Arial"/>
                <w:sz w:val="14"/>
                <w:szCs w:val="14"/>
                <w:color w:val="auto"/>
              </w:rPr>
              <w:t>Research and development</w:t>
            </w:r>
          </w:p>
        </w:tc>
        <w:tc>
          <w:tcPr>
            <w:tcW w:w="600" w:type="dxa"/>
            <w:vAlign w:val="bottom"/>
            <w:shd w:val="clear" w:color="auto" w:fill="DDDDDD"/>
          </w:tcPr>
          <w:p>
            <w:pPr>
              <w:spacing w:after="0"/>
              <w:rPr>
                <w:sz w:val="18"/>
                <w:szCs w:val="18"/>
                <w:color w:val="auto"/>
              </w:rPr>
            </w:pPr>
          </w:p>
        </w:tc>
        <w:tc>
          <w:tcPr>
            <w:tcW w:w="760" w:type="dxa"/>
            <w:vAlign w:val="bottom"/>
            <w:shd w:val="clear" w:color="auto" w:fill="DDDDDD"/>
          </w:tcPr>
          <w:p>
            <w:pPr>
              <w:spacing w:after="0"/>
              <w:rPr>
                <w:sz w:val="18"/>
                <w:szCs w:val="18"/>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96"/>
              </w:rPr>
              <w:t>2,357</w:t>
            </w:r>
          </w:p>
        </w:tc>
        <w:tc>
          <w:tcPr>
            <w:tcW w:w="6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5,232</w:t>
            </w:r>
          </w:p>
        </w:tc>
        <w:tc>
          <w:tcPr>
            <w:tcW w:w="64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right"/>
              <w:ind w:right="620"/>
              <w:spacing w:after="0"/>
              <w:rPr>
                <w:sz w:val="20"/>
                <w:szCs w:val="20"/>
                <w:color w:val="auto"/>
              </w:rPr>
            </w:pPr>
            <w:r>
              <w:rPr>
                <w:rFonts w:ascii="Arial" w:cs="Arial" w:eastAsia="Arial" w:hAnsi="Arial"/>
                <w:sz w:val="14"/>
                <w:szCs w:val="14"/>
                <w:color w:val="auto"/>
              </w:rPr>
              <w:t>3,184</w:t>
            </w:r>
          </w:p>
        </w:tc>
        <w:tc>
          <w:tcPr>
            <w:tcW w:w="32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3,142</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3,306</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18,450</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color w:val="auto"/>
              </w:rPr>
              <w:t>11,806</w:t>
            </w:r>
          </w:p>
        </w:tc>
        <w:tc>
          <w:tcPr>
            <w:tcW w:w="3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9,169</w:t>
            </w:r>
          </w:p>
        </w:tc>
      </w:tr>
      <w:tr>
        <w:trPr>
          <w:trHeight w:val="20"/>
        </w:trPr>
        <w:tc>
          <w:tcPr>
            <w:tcW w:w="3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3700" w:type="dxa"/>
            <w:vAlign w:val="bottom"/>
            <w:shd w:val="clear" w:color="auto" w:fill="DDDDDD"/>
          </w:tcPr>
          <w:p>
            <w:pPr>
              <w:spacing w:after="0"/>
              <w:rPr>
                <w:sz w:val="20"/>
                <w:szCs w:val="20"/>
                <w:color w:val="auto"/>
              </w:rPr>
            </w:pPr>
            <w:r>
              <w:rPr>
                <w:rFonts w:ascii="Arial" w:cs="Arial" w:eastAsia="Arial" w:hAnsi="Arial"/>
                <w:sz w:val="14"/>
                <w:szCs w:val="14"/>
                <w:color w:val="auto"/>
              </w:rPr>
              <w:t>Total stock-based compensation expense</w:t>
            </w:r>
          </w:p>
        </w:tc>
        <w:tc>
          <w:tcPr>
            <w:tcW w:w="1360" w:type="dxa"/>
            <w:vAlign w:val="bottom"/>
            <w:gridSpan w:val="2"/>
            <w:shd w:val="clear" w:color="auto" w:fill="DDDDDD"/>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96"/>
              </w:rPr>
              <w:t>8,963</w:t>
            </w:r>
          </w:p>
        </w:tc>
        <w:tc>
          <w:tcPr>
            <w:tcW w:w="1340" w:type="dxa"/>
            <w:vAlign w:val="bottom"/>
            <w:gridSpan w:val="2"/>
            <w:shd w:val="clear" w:color="auto" w:fill="DDDDDD"/>
          </w:tcPr>
          <w:p>
            <w:pPr>
              <w:jc w:val="right"/>
              <w:ind w:righ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31,618</w:t>
            </w:r>
          </w:p>
        </w:tc>
        <w:tc>
          <w:tcPr>
            <w:tcW w:w="9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DDDDDD"/>
          </w:tcPr>
          <w:p>
            <w:pPr>
              <w:jc w:val="right"/>
              <w:ind w:right="620"/>
              <w:spacing w:after="0"/>
              <w:rPr>
                <w:sz w:val="20"/>
                <w:szCs w:val="20"/>
                <w:color w:val="auto"/>
              </w:rPr>
            </w:pPr>
            <w:r>
              <w:rPr>
                <w:rFonts w:ascii="Arial" w:cs="Arial" w:eastAsia="Arial" w:hAnsi="Arial"/>
                <w:sz w:val="14"/>
                <w:szCs w:val="14"/>
                <w:color w:val="auto"/>
              </w:rPr>
              <w:t>20,603</w:t>
            </w:r>
          </w:p>
        </w:tc>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16,484</w:t>
            </w:r>
          </w:p>
        </w:tc>
      </w:tr>
      <w:tr>
        <w:trPr>
          <w:trHeight w:val="20"/>
        </w:trPr>
        <w:tc>
          <w:tcPr>
            <w:tcW w:w="3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4"/>
          </w:tcPr>
          <w:p>
            <w:pPr>
              <w:ind w:left="7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060" w:type="dxa"/>
            <w:vAlign w:val="bottom"/>
            <w:gridSpan w:val="2"/>
          </w:tcPr>
          <w:p>
            <w:pPr>
              <w:spacing w:after="0"/>
              <w:rPr>
                <w:sz w:val="13"/>
                <w:szCs w:val="13"/>
                <w:color w:val="auto"/>
              </w:rPr>
            </w:pPr>
          </w:p>
        </w:tc>
        <w:tc>
          <w:tcPr>
            <w:tcW w:w="10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76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780" w:type="dxa"/>
            <w:vAlign w:val="bottom"/>
            <w:tcBorders>
              <w:top w:val="single" w:sz="8" w:color="auto"/>
            </w:tcBorders>
            <w:gridSpan w:val="2"/>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196"/>
        </w:trPr>
        <w:tc>
          <w:tcPr>
            <w:tcW w:w="3960" w:type="dxa"/>
            <w:vAlign w:val="bottom"/>
            <w:tcBorders>
              <w:top w:val="single" w:sz="8" w:color="DDDDDD"/>
            </w:tcBorders>
            <w:shd w:val="clear" w:color="auto" w:fill="DDDDDD"/>
          </w:tcPr>
          <w:p>
            <w:pPr>
              <w:ind w:left="260"/>
              <w:spacing w:after="0"/>
              <w:rPr>
                <w:sz w:val="20"/>
                <w:szCs w:val="20"/>
                <w:color w:val="auto"/>
              </w:rPr>
            </w:pPr>
            <w:r>
              <w:rPr>
                <w:rFonts w:ascii="Arial" w:cs="Arial" w:eastAsia="Arial" w:hAnsi="Arial"/>
                <w:sz w:val="14"/>
                <w:szCs w:val="14"/>
                <w:b w:val="1"/>
                <w:bCs w:val="1"/>
                <w:color w:val="auto"/>
              </w:rPr>
              <w:t>Consolidated statements of operations</w:t>
            </w:r>
          </w:p>
        </w:tc>
        <w:tc>
          <w:tcPr>
            <w:tcW w:w="100" w:type="dxa"/>
            <w:vAlign w:val="bottom"/>
            <w:tcBorders>
              <w:top w:val="single" w:sz="8" w:color="DDDDDD"/>
            </w:tcBorders>
            <w:shd w:val="clear" w:color="auto" w:fill="DDDDDD"/>
          </w:tcPr>
          <w:p>
            <w:pPr>
              <w:spacing w:after="0"/>
              <w:rPr>
                <w:sz w:val="17"/>
                <w:szCs w:val="17"/>
                <w:color w:val="auto"/>
              </w:rPr>
            </w:pPr>
          </w:p>
        </w:tc>
        <w:tc>
          <w:tcPr>
            <w:tcW w:w="1060" w:type="dxa"/>
            <w:vAlign w:val="bottom"/>
            <w:tcBorders>
              <w:top w:val="single" w:sz="8" w:color="auto"/>
            </w:tcBorders>
            <w:shd w:val="clear" w:color="auto" w:fill="DDDDDD"/>
          </w:tcPr>
          <w:p>
            <w:pPr>
              <w:spacing w:after="0"/>
              <w:rPr>
                <w:sz w:val="17"/>
                <w:szCs w:val="17"/>
                <w:color w:val="auto"/>
              </w:rPr>
            </w:pPr>
          </w:p>
        </w:tc>
        <w:tc>
          <w:tcPr>
            <w:tcW w:w="540" w:type="dxa"/>
            <w:vAlign w:val="bottom"/>
            <w:tcBorders>
              <w:top w:val="single" w:sz="8" w:color="auto"/>
            </w:tcBorders>
            <w:shd w:val="clear" w:color="auto" w:fill="DDDDDD"/>
          </w:tcPr>
          <w:p>
            <w:pPr>
              <w:spacing w:after="0"/>
              <w:rPr>
                <w:sz w:val="17"/>
                <w:szCs w:val="17"/>
                <w:color w:val="auto"/>
              </w:rPr>
            </w:pPr>
          </w:p>
        </w:tc>
        <w:tc>
          <w:tcPr>
            <w:tcW w:w="160" w:type="dxa"/>
            <w:vAlign w:val="bottom"/>
            <w:tcBorders>
              <w:top w:val="single" w:sz="8" w:color="DDDDDD"/>
            </w:tcBorders>
            <w:shd w:val="clear" w:color="auto" w:fill="DDDDDD"/>
          </w:tcPr>
          <w:p>
            <w:pPr>
              <w:spacing w:after="0"/>
              <w:rPr>
                <w:sz w:val="17"/>
                <w:szCs w:val="17"/>
                <w:color w:val="auto"/>
              </w:rPr>
            </w:pPr>
          </w:p>
        </w:tc>
        <w:tc>
          <w:tcPr>
            <w:tcW w:w="1060" w:type="dxa"/>
            <w:vAlign w:val="bottom"/>
            <w:tcBorders>
              <w:top w:val="single" w:sz="8" w:color="auto"/>
            </w:tcBorders>
            <w:shd w:val="clear" w:color="auto" w:fill="DDDDDD"/>
          </w:tcPr>
          <w:p>
            <w:pPr>
              <w:spacing w:after="0"/>
              <w:rPr>
                <w:sz w:val="17"/>
                <w:szCs w:val="17"/>
                <w:color w:val="auto"/>
              </w:rPr>
            </w:pPr>
          </w:p>
        </w:tc>
        <w:tc>
          <w:tcPr>
            <w:tcW w:w="540" w:type="dxa"/>
            <w:vAlign w:val="bottom"/>
            <w:tcBorders>
              <w:top w:val="single" w:sz="8" w:color="auto"/>
            </w:tcBorders>
            <w:shd w:val="clear" w:color="auto" w:fill="DDDDDD"/>
          </w:tcPr>
          <w:p>
            <w:pPr>
              <w:spacing w:after="0"/>
              <w:rPr>
                <w:sz w:val="17"/>
                <w:szCs w:val="17"/>
                <w:color w:val="auto"/>
              </w:rPr>
            </w:pPr>
          </w:p>
        </w:tc>
        <w:tc>
          <w:tcPr>
            <w:tcW w:w="140" w:type="dxa"/>
            <w:vAlign w:val="bottom"/>
            <w:tcBorders>
              <w:top w:val="single" w:sz="8" w:color="DDDDDD"/>
            </w:tcBorders>
            <w:shd w:val="clear" w:color="auto" w:fill="DDDDDD"/>
          </w:tcPr>
          <w:p>
            <w:pPr>
              <w:spacing w:after="0"/>
              <w:rPr>
                <w:sz w:val="17"/>
                <w:szCs w:val="17"/>
                <w:color w:val="auto"/>
              </w:rPr>
            </w:pPr>
          </w:p>
        </w:tc>
        <w:tc>
          <w:tcPr>
            <w:tcW w:w="1620" w:type="dxa"/>
            <w:vAlign w:val="bottom"/>
            <w:tcBorders>
              <w:top w:val="single" w:sz="8" w:color="auto"/>
            </w:tcBorders>
            <w:shd w:val="clear" w:color="auto" w:fill="DDDDDD"/>
          </w:tcPr>
          <w:p>
            <w:pPr>
              <w:spacing w:after="0"/>
              <w:rPr>
                <w:sz w:val="17"/>
                <w:szCs w:val="17"/>
                <w:color w:val="auto"/>
              </w:rPr>
            </w:pPr>
          </w:p>
        </w:tc>
        <w:tc>
          <w:tcPr>
            <w:tcW w:w="160" w:type="dxa"/>
            <w:vAlign w:val="bottom"/>
            <w:tcBorders>
              <w:top w:val="single" w:sz="8" w:color="DDDDDD"/>
            </w:tcBorders>
            <w:shd w:val="clear" w:color="auto" w:fill="DDDDDD"/>
          </w:tcPr>
          <w:p>
            <w:pPr>
              <w:spacing w:after="0"/>
              <w:rPr>
                <w:sz w:val="17"/>
                <w:szCs w:val="17"/>
                <w:color w:val="auto"/>
              </w:rPr>
            </w:pPr>
          </w:p>
        </w:tc>
        <w:tc>
          <w:tcPr>
            <w:tcW w:w="1620" w:type="dxa"/>
            <w:vAlign w:val="bottom"/>
            <w:tcBorders>
              <w:top w:val="single" w:sz="8" w:color="auto"/>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r>
      <w:tr>
        <w:trPr>
          <w:trHeight w:val="162"/>
        </w:trPr>
        <w:tc>
          <w:tcPr>
            <w:tcW w:w="5120" w:type="dxa"/>
            <w:vAlign w:val="bottom"/>
            <w:gridSpan w:val="3"/>
          </w:tcPr>
          <w:p>
            <w:pPr>
              <w:ind w:left="260"/>
              <w:spacing w:after="0"/>
              <w:rPr>
                <w:sz w:val="20"/>
                <w:szCs w:val="20"/>
                <w:color w:val="auto"/>
              </w:rPr>
            </w:pPr>
            <w:r>
              <w:rPr>
                <w:rFonts w:ascii="Arial" w:cs="Arial" w:eastAsia="Arial" w:hAnsi="Arial"/>
                <w:sz w:val="14"/>
                <w:szCs w:val="14"/>
                <w:color w:val="auto"/>
              </w:rPr>
              <w:t>Revenues</w:t>
            </w: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r>
      <w:tr>
        <w:trPr>
          <w:trHeight w:val="223"/>
        </w:trPr>
        <w:tc>
          <w:tcPr>
            <w:tcW w:w="396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Cost of revenues</w:t>
            </w:r>
          </w:p>
        </w:tc>
        <w:tc>
          <w:tcPr>
            <w:tcW w:w="100" w:type="dxa"/>
            <w:vAlign w:val="bottom"/>
            <w:tcBorders>
              <w:bottom w:val="single" w:sz="8" w:color="DDDDDD"/>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auto"/>
              </w:rPr>
              <w:t>52</w:t>
            </w:r>
          </w:p>
        </w:tc>
        <w:tc>
          <w:tcPr>
            <w:tcW w:w="160" w:type="dxa"/>
            <w:vAlign w:val="bottom"/>
            <w:tcBorders>
              <w:bottom w:val="single" w:sz="8" w:color="DDDDDD"/>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auto"/>
              </w:rPr>
              <w:t>49</w:t>
            </w:r>
          </w:p>
        </w:tc>
        <w:tc>
          <w:tcPr>
            <w:tcW w:w="14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auto"/>
              </w:rPr>
              <w:t>52</w:t>
            </w:r>
          </w:p>
        </w:tc>
        <w:tc>
          <w:tcPr>
            <w:tcW w:w="160" w:type="dxa"/>
            <w:vAlign w:val="bottom"/>
            <w:tcBorders>
              <w:bottom w:val="single" w:sz="8" w:color="DDDDDD"/>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ind w:left="1220"/>
              <w:spacing w:after="0"/>
              <w:rPr>
                <w:sz w:val="20"/>
                <w:szCs w:val="20"/>
                <w:color w:val="auto"/>
              </w:rPr>
            </w:pPr>
            <w:r>
              <w:rPr>
                <w:rFonts w:ascii="Arial" w:cs="Arial" w:eastAsia="Arial" w:hAnsi="Arial"/>
                <w:sz w:val="14"/>
                <w:szCs w:val="14"/>
                <w:color w:val="auto"/>
              </w:rPr>
              <w:t>45</w:t>
            </w:r>
          </w:p>
        </w:tc>
        <w:tc>
          <w:tcPr>
            <w:tcW w:w="60" w:type="dxa"/>
            <w:vAlign w:val="bottom"/>
            <w:tcBorders>
              <w:bottom w:val="single" w:sz="8" w:color="DDDDDD"/>
            </w:tcBorders>
            <w:shd w:val="clear" w:color="auto" w:fill="DDDDDD"/>
          </w:tcPr>
          <w:p>
            <w:pPr>
              <w:spacing w:after="0"/>
              <w:rPr>
                <w:sz w:val="19"/>
                <w:szCs w:val="19"/>
                <w:color w:val="auto"/>
              </w:rPr>
            </w:pPr>
          </w:p>
        </w:tc>
      </w:tr>
      <w:tr>
        <w:trPr>
          <w:trHeight w:val="162"/>
        </w:trPr>
        <w:tc>
          <w:tcPr>
            <w:tcW w:w="5120" w:type="dxa"/>
            <w:vAlign w:val="bottom"/>
            <w:gridSpan w:val="3"/>
          </w:tcPr>
          <w:p>
            <w:pPr>
              <w:ind w:left="260"/>
              <w:spacing w:after="0"/>
              <w:rPr>
                <w:sz w:val="20"/>
                <w:szCs w:val="20"/>
                <w:color w:val="auto"/>
              </w:rPr>
            </w:pPr>
            <w:r>
              <w:rPr>
                <w:rFonts w:ascii="Arial" w:cs="Arial" w:eastAsia="Arial" w:hAnsi="Arial"/>
                <w:sz w:val="14"/>
                <w:szCs w:val="14"/>
                <w:color w:val="auto"/>
              </w:rPr>
              <w:t>Gross profit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51</w:t>
            </w:r>
          </w:p>
        </w:tc>
        <w:tc>
          <w:tcPr>
            <w:tcW w:w="1760" w:type="dxa"/>
            <w:vAlign w:val="bottom"/>
            <w:gridSpan w:val="2"/>
          </w:tcPr>
          <w:p>
            <w:pPr>
              <w:jc w:val="right"/>
              <w:ind w:right="128"/>
              <w:spacing w:after="0"/>
              <w:rPr>
                <w:sz w:val="20"/>
                <w:szCs w:val="20"/>
                <w:color w:val="auto"/>
              </w:rPr>
            </w:pPr>
            <w:r>
              <w:rPr>
                <w:rFonts w:ascii="Arial" w:cs="Arial" w:eastAsia="Arial" w:hAnsi="Arial"/>
                <w:sz w:val="14"/>
                <w:szCs w:val="14"/>
                <w:color w:val="auto"/>
              </w:rPr>
              <w:t>48</w:t>
            </w:r>
          </w:p>
        </w:tc>
        <w:tc>
          <w:tcPr>
            <w:tcW w:w="1780" w:type="dxa"/>
            <w:vAlign w:val="bottom"/>
            <w:gridSpan w:val="2"/>
          </w:tcPr>
          <w:p>
            <w:pPr>
              <w:jc w:val="right"/>
              <w:ind w:right="128"/>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960" w:type="dxa"/>
            <w:vAlign w:val="bottom"/>
            <w:shd w:val="clear" w:color="auto" w:fill="DDDDDD"/>
          </w:tcPr>
          <w:p>
            <w:pPr>
              <w:ind w:left="440"/>
              <w:spacing w:after="0"/>
              <w:rPr>
                <w:sz w:val="20"/>
                <w:szCs w:val="20"/>
                <w:color w:val="auto"/>
              </w:rPr>
            </w:pPr>
            <w:r>
              <w:rPr>
                <w:rFonts w:ascii="Arial" w:cs="Arial" w:eastAsia="Arial" w:hAnsi="Arial"/>
                <w:sz w:val="14"/>
                <w:szCs w:val="14"/>
                <w:color w:val="auto"/>
              </w:rPr>
              <w:t>Operating expenses:</w:t>
            </w:r>
          </w:p>
        </w:tc>
        <w:tc>
          <w:tcPr>
            <w:tcW w:w="1160" w:type="dxa"/>
            <w:vAlign w:val="bottom"/>
            <w:gridSpan w:val="2"/>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6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r>
      <w:tr>
        <w:trPr>
          <w:trHeight w:val="162"/>
        </w:trPr>
        <w:tc>
          <w:tcPr>
            <w:tcW w:w="5120" w:type="dxa"/>
            <w:vAlign w:val="bottom"/>
            <w:gridSpan w:val="3"/>
          </w:tcPr>
          <w:p>
            <w:pPr>
              <w:ind w:left="440"/>
              <w:spacing w:after="0"/>
              <w:rPr>
                <w:sz w:val="20"/>
                <w:szCs w:val="20"/>
                <w:color w:val="auto"/>
              </w:rPr>
            </w:pPr>
            <w:r>
              <w:rPr>
                <w:rFonts w:ascii="Arial" w:cs="Arial" w:eastAsia="Arial" w:hAnsi="Arial"/>
                <w:sz w:val="14"/>
                <w:szCs w:val="14"/>
                <w:color w:val="auto"/>
              </w:rPr>
              <w:t>Sales and marketing</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760" w:type="dxa"/>
            <w:vAlign w:val="bottom"/>
            <w:gridSpan w:val="2"/>
          </w:tcPr>
          <w:p>
            <w:pPr>
              <w:jc w:val="right"/>
              <w:ind w:right="128"/>
              <w:spacing w:after="0"/>
              <w:rPr>
                <w:sz w:val="20"/>
                <w:szCs w:val="20"/>
                <w:color w:val="auto"/>
              </w:rPr>
            </w:pPr>
            <w:r>
              <w:rPr>
                <w:rFonts w:ascii="Arial" w:cs="Arial" w:eastAsia="Arial" w:hAnsi="Arial"/>
                <w:sz w:val="14"/>
                <w:szCs w:val="14"/>
                <w:color w:val="auto"/>
              </w:rPr>
              <w:t>48</w:t>
            </w:r>
          </w:p>
        </w:tc>
        <w:tc>
          <w:tcPr>
            <w:tcW w:w="1780" w:type="dxa"/>
            <w:vAlign w:val="bottom"/>
            <w:gridSpan w:val="2"/>
          </w:tcPr>
          <w:p>
            <w:pPr>
              <w:jc w:val="right"/>
              <w:ind w:right="128"/>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4"/>
                <w:szCs w:val="14"/>
                <w:color w:val="auto"/>
              </w:rPr>
            </w:pPr>
          </w:p>
        </w:tc>
      </w:tr>
      <w:tr>
        <w:trPr>
          <w:trHeight w:val="216"/>
        </w:trPr>
        <w:tc>
          <w:tcPr>
            <w:tcW w:w="3960" w:type="dxa"/>
            <w:vAlign w:val="bottom"/>
            <w:shd w:val="clear" w:color="auto" w:fill="DDDDDD"/>
          </w:tcPr>
          <w:p>
            <w:pPr>
              <w:ind w:left="440"/>
              <w:spacing w:after="0"/>
              <w:rPr>
                <w:sz w:val="20"/>
                <w:szCs w:val="20"/>
                <w:color w:val="auto"/>
              </w:rPr>
            </w:pPr>
            <w:r>
              <w:rPr>
                <w:rFonts w:ascii="Arial" w:cs="Arial" w:eastAsia="Arial" w:hAnsi="Arial"/>
                <w:sz w:val="14"/>
                <w:szCs w:val="14"/>
                <w:color w:val="auto"/>
              </w:rPr>
              <w:t>Research and development</w:t>
            </w:r>
          </w:p>
        </w:tc>
        <w:tc>
          <w:tcPr>
            <w:tcW w:w="1160" w:type="dxa"/>
            <w:vAlign w:val="bottom"/>
            <w:gridSpan w:val="2"/>
            <w:shd w:val="clear" w:color="auto" w:fill="DDDDDD"/>
          </w:tcPr>
          <w:p>
            <w:pPr>
              <w:spacing w:after="0"/>
              <w:rPr>
                <w:sz w:val="18"/>
                <w:szCs w:val="18"/>
                <w:color w:val="auto"/>
              </w:rPr>
            </w:pPr>
          </w:p>
        </w:tc>
        <w:tc>
          <w:tcPr>
            <w:tcW w:w="5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12</w:t>
            </w:r>
          </w:p>
        </w:tc>
        <w:tc>
          <w:tcPr>
            <w:tcW w:w="16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5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12</w:t>
            </w:r>
          </w:p>
        </w:tc>
        <w:tc>
          <w:tcPr>
            <w:tcW w:w="176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12</w:t>
            </w:r>
          </w:p>
        </w:tc>
        <w:tc>
          <w:tcPr>
            <w:tcW w:w="178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12</w:t>
            </w:r>
          </w:p>
        </w:tc>
        <w:tc>
          <w:tcPr>
            <w:tcW w:w="60" w:type="dxa"/>
            <w:vAlign w:val="bottom"/>
            <w:shd w:val="clear" w:color="auto" w:fill="DDDDDD"/>
          </w:tcPr>
          <w:p>
            <w:pPr>
              <w:spacing w:after="0"/>
              <w:rPr>
                <w:sz w:val="18"/>
                <w:szCs w:val="18"/>
                <w:color w:val="auto"/>
              </w:rPr>
            </w:pPr>
          </w:p>
        </w:tc>
      </w:tr>
      <w:tr>
        <w:trPr>
          <w:trHeight w:val="162"/>
        </w:trPr>
        <w:tc>
          <w:tcPr>
            <w:tcW w:w="4060" w:type="dxa"/>
            <w:vAlign w:val="bottom"/>
            <w:tcBorders>
              <w:bottom w:val="single" w:sz="8" w:color="DDDDDD"/>
            </w:tcBorders>
            <w:gridSpan w:val="2"/>
          </w:tcPr>
          <w:p>
            <w:pPr>
              <w:ind w:left="44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DDDDDD"/>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DDDDDD"/>
            </w:tcBorders>
          </w:tcPr>
          <w:p>
            <w:pPr>
              <w:spacing w:after="0"/>
              <w:rPr>
                <w:sz w:val="14"/>
                <w:szCs w:val="14"/>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DDDDDD"/>
            </w:tcBorders>
          </w:tcPr>
          <w:p>
            <w:pPr>
              <w:spacing w:after="0"/>
              <w:rPr>
                <w:sz w:val="14"/>
                <w:szCs w:val="14"/>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DDDDDD"/>
            </w:tcBorders>
          </w:tcPr>
          <w:p>
            <w:pPr>
              <w:spacing w:after="0"/>
              <w:rPr>
                <w:sz w:val="14"/>
                <w:szCs w:val="14"/>
                <w:color w:val="auto"/>
              </w:rPr>
            </w:pPr>
          </w:p>
        </w:tc>
      </w:tr>
      <w:tr>
        <w:trPr>
          <w:trHeight w:val="217"/>
        </w:trPr>
        <w:tc>
          <w:tcPr>
            <w:tcW w:w="3960" w:type="dxa"/>
            <w:vAlign w:val="bottom"/>
            <w:shd w:val="clear" w:color="auto" w:fill="DDDDDD"/>
          </w:tcPr>
          <w:p>
            <w:pPr>
              <w:ind w:left="62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spacing w:after="0"/>
              <w:rPr>
                <w:sz w:val="18"/>
                <w:szCs w:val="18"/>
                <w:color w:val="auto"/>
              </w:rPr>
            </w:pPr>
          </w:p>
        </w:tc>
        <w:tc>
          <w:tcPr>
            <w:tcW w:w="54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color w:val="auto"/>
              </w:rPr>
              <w:t>72</w:t>
            </w:r>
          </w:p>
        </w:tc>
        <w:tc>
          <w:tcPr>
            <w:tcW w:w="160" w:type="dxa"/>
            <w:vAlign w:val="bottom"/>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spacing w:after="0"/>
              <w:rPr>
                <w:sz w:val="18"/>
                <w:szCs w:val="18"/>
                <w:color w:val="auto"/>
              </w:rPr>
            </w:pPr>
          </w:p>
        </w:tc>
        <w:tc>
          <w:tcPr>
            <w:tcW w:w="54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color w:val="auto"/>
              </w:rPr>
              <w:t>69</w:t>
            </w:r>
          </w:p>
        </w:tc>
        <w:tc>
          <w:tcPr>
            <w:tcW w:w="140" w:type="dxa"/>
            <w:vAlign w:val="bottom"/>
            <w:shd w:val="clear" w:color="auto" w:fill="DDDDDD"/>
          </w:tcPr>
          <w:p>
            <w:pPr>
              <w:spacing w:after="0"/>
              <w:rPr>
                <w:sz w:val="18"/>
                <w:szCs w:val="18"/>
                <w:color w:val="auto"/>
              </w:rPr>
            </w:pPr>
          </w:p>
        </w:tc>
        <w:tc>
          <w:tcPr>
            <w:tcW w:w="162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color w:val="auto"/>
              </w:rPr>
              <w:t>73</w:t>
            </w:r>
          </w:p>
        </w:tc>
        <w:tc>
          <w:tcPr>
            <w:tcW w:w="160" w:type="dxa"/>
            <w:vAlign w:val="bottom"/>
            <w:shd w:val="clear" w:color="auto" w:fill="DDDDDD"/>
          </w:tcPr>
          <w:p>
            <w:pPr>
              <w:spacing w:after="0"/>
              <w:rPr>
                <w:sz w:val="18"/>
                <w:szCs w:val="18"/>
                <w:color w:val="auto"/>
              </w:rPr>
            </w:pPr>
          </w:p>
        </w:tc>
        <w:tc>
          <w:tcPr>
            <w:tcW w:w="162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color w:val="auto"/>
              </w:rPr>
              <w:t>66</w:t>
            </w:r>
          </w:p>
        </w:tc>
        <w:tc>
          <w:tcPr>
            <w:tcW w:w="60" w:type="dxa"/>
            <w:vAlign w:val="bottom"/>
            <w:shd w:val="clear" w:color="auto" w:fill="DDDDDD"/>
          </w:tcPr>
          <w:p>
            <w:pPr>
              <w:spacing w:after="0"/>
              <w:rPr>
                <w:sz w:val="18"/>
                <w:szCs w:val="18"/>
                <w:color w:val="auto"/>
              </w:rPr>
            </w:pPr>
          </w:p>
        </w:tc>
      </w:tr>
      <w:tr>
        <w:trPr>
          <w:trHeight w:val="175"/>
        </w:trPr>
        <w:tc>
          <w:tcPr>
            <w:tcW w:w="5120" w:type="dxa"/>
            <w:vAlign w:val="bottom"/>
            <w:gridSpan w:val="3"/>
          </w:tcPr>
          <w:p>
            <w:pPr>
              <w:ind w:left="260"/>
              <w:spacing w:after="0"/>
              <w:rPr>
                <w:sz w:val="20"/>
                <w:szCs w:val="20"/>
                <w:color w:val="auto"/>
              </w:rPr>
            </w:pPr>
            <w:r>
              <w:rPr>
                <w:rFonts w:ascii="Arial" w:cs="Arial" w:eastAsia="Arial" w:hAnsi="Arial"/>
                <w:sz w:val="14"/>
                <w:szCs w:val="14"/>
                <w:color w:val="auto"/>
              </w:rPr>
              <w:t>Operating loss</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760" w:type="dxa"/>
            <w:vAlign w:val="bottom"/>
            <w:gridSpan w:val="2"/>
          </w:tcPr>
          <w:p>
            <w:pPr>
              <w:jc w:val="right"/>
              <w:ind w:right="88"/>
              <w:spacing w:after="0"/>
              <w:rPr>
                <w:sz w:val="20"/>
                <w:szCs w:val="20"/>
                <w:color w:val="auto"/>
              </w:rPr>
            </w:pPr>
            <w:r>
              <w:rPr>
                <w:rFonts w:ascii="Arial" w:cs="Arial" w:eastAsia="Arial" w:hAnsi="Arial"/>
                <w:sz w:val="14"/>
                <w:szCs w:val="14"/>
                <w:color w:val="auto"/>
              </w:rPr>
              <w:t>(25)</w:t>
            </w:r>
          </w:p>
        </w:tc>
        <w:tc>
          <w:tcPr>
            <w:tcW w:w="1780" w:type="dxa"/>
            <w:vAlign w:val="bottom"/>
            <w:gridSpan w:val="2"/>
          </w:tcPr>
          <w:p>
            <w:pPr>
              <w:ind w:left="136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r>
      <w:tr>
        <w:trPr>
          <w:trHeight w:val="216"/>
        </w:trPr>
        <w:tc>
          <w:tcPr>
            <w:tcW w:w="3960" w:type="dxa"/>
            <w:vAlign w:val="bottom"/>
            <w:shd w:val="clear" w:color="auto" w:fill="DDDDDD"/>
          </w:tcPr>
          <w:p>
            <w:pPr>
              <w:ind w:left="260"/>
              <w:spacing w:after="0"/>
              <w:rPr>
                <w:sz w:val="20"/>
                <w:szCs w:val="20"/>
                <w:color w:val="auto"/>
              </w:rPr>
            </w:pPr>
            <w:r>
              <w:rPr>
                <w:rFonts w:ascii="Arial" w:cs="Arial" w:eastAsia="Arial" w:hAnsi="Arial"/>
                <w:sz w:val="14"/>
                <w:szCs w:val="14"/>
                <w:color w:val="auto"/>
              </w:rPr>
              <w:t>Other income (expense), net</w:t>
            </w:r>
          </w:p>
        </w:tc>
        <w:tc>
          <w:tcPr>
            <w:tcW w:w="1160" w:type="dxa"/>
            <w:vAlign w:val="bottom"/>
            <w:gridSpan w:val="2"/>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r>
      <w:tr>
        <w:trPr>
          <w:trHeight w:val="162"/>
        </w:trPr>
        <w:tc>
          <w:tcPr>
            <w:tcW w:w="5120" w:type="dxa"/>
            <w:vAlign w:val="bottom"/>
            <w:gridSpan w:val="3"/>
          </w:tcPr>
          <w:p>
            <w:pPr>
              <w:ind w:left="440"/>
              <w:spacing w:after="0"/>
              <w:rPr>
                <w:sz w:val="20"/>
                <w:szCs w:val="20"/>
                <w:color w:val="auto"/>
              </w:rPr>
            </w:pPr>
            <w:r>
              <w:rPr>
                <w:rFonts w:ascii="Arial" w:cs="Arial" w:eastAsia="Arial" w:hAnsi="Arial"/>
                <w:sz w:val="14"/>
                <w:szCs w:val="14"/>
                <w:color w:val="auto"/>
              </w:rPr>
              <w:t>Interest income (expense), net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760" w:type="dxa"/>
            <w:vAlign w:val="bottom"/>
            <w:gridSpan w:val="2"/>
          </w:tcPr>
          <w:p>
            <w:pPr>
              <w:jc w:val="right"/>
              <w:ind w:right="88"/>
              <w:spacing w:after="0"/>
              <w:rPr>
                <w:sz w:val="20"/>
                <w:szCs w:val="20"/>
                <w:color w:val="auto"/>
              </w:rPr>
            </w:pPr>
            <w:r>
              <w:rPr>
                <w:rFonts w:ascii="Arial" w:cs="Arial" w:eastAsia="Arial" w:hAnsi="Arial"/>
                <w:sz w:val="14"/>
                <w:szCs w:val="14"/>
                <w:color w:val="auto"/>
              </w:rPr>
              <w:t>(1)</w:t>
            </w:r>
          </w:p>
        </w:tc>
        <w:tc>
          <w:tcPr>
            <w:tcW w:w="1780" w:type="dxa"/>
            <w:vAlign w:val="bottom"/>
            <w:gridSpan w:val="2"/>
          </w:tcPr>
          <w:p>
            <w:pPr>
              <w:jc w:val="right"/>
              <w:ind w:right="12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r>
      <w:tr>
        <w:trPr>
          <w:trHeight w:val="216"/>
        </w:trPr>
        <w:tc>
          <w:tcPr>
            <w:tcW w:w="3960" w:type="dxa"/>
            <w:vAlign w:val="bottom"/>
            <w:shd w:val="clear" w:color="auto" w:fill="DDDDDD"/>
          </w:tcPr>
          <w:p>
            <w:pPr>
              <w:ind w:left="440"/>
              <w:spacing w:after="0"/>
              <w:rPr>
                <w:sz w:val="20"/>
                <w:szCs w:val="20"/>
                <w:color w:val="auto"/>
              </w:rPr>
            </w:pPr>
            <w:r>
              <w:rPr>
                <w:rFonts w:ascii="Arial" w:cs="Arial" w:eastAsia="Arial" w:hAnsi="Arial"/>
                <w:sz w:val="14"/>
                <w:szCs w:val="14"/>
                <w:color w:val="auto"/>
              </w:rPr>
              <w:t>Other income (expense), net</w:t>
            </w:r>
          </w:p>
        </w:tc>
        <w:tc>
          <w:tcPr>
            <w:tcW w:w="1160" w:type="dxa"/>
            <w:vAlign w:val="bottom"/>
            <w:gridSpan w:val="2"/>
            <w:shd w:val="clear" w:color="auto" w:fill="DDDDDD"/>
          </w:tcPr>
          <w:p>
            <w:pPr>
              <w:spacing w:after="0"/>
              <w:rPr>
                <w:sz w:val="18"/>
                <w:szCs w:val="18"/>
                <w:color w:val="auto"/>
              </w:rPr>
            </w:pPr>
          </w:p>
        </w:tc>
        <w:tc>
          <w:tcPr>
            <w:tcW w:w="5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0</w:t>
            </w:r>
          </w:p>
        </w:tc>
        <w:tc>
          <w:tcPr>
            <w:tcW w:w="16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5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0</w:t>
            </w:r>
          </w:p>
        </w:tc>
        <w:tc>
          <w:tcPr>
            <w:tcW w:w="176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0</w:t>
            </w:r>
          </w:p>
        </w:tc>
        <w:tc>
          <w:tcPr>
            <w:tcW w:w="178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auto"/>
              </w:rPr>
              <w:t>0</w:t>
            </w:r>
          </w:p>
        </w:tc>
        <w:tc>
          <w:tcPr>
            <w:tcW w:w="60" w:type="dxa"/>
            <w:vAlign w:val="bottom"/>
            <w:shd w:val="clear" w:color="auto" w:fill="DDDDDD"/>
          </w:tcPr>
          <w:p>
            <w:pPr>
              <w:spacing w:after="0"/>
              <w:rPr>
                <w:sz w:val="18"/>
                <w:szCs w:val="18"/>
                <w:color w:val="auto"/>
              </w:rPr>
            </w:pPr>
          </w:p>
        </w:tc>
      </w:tr>
      <w:tr>
        <w:trPr>
          <w:trHeight w:val="162"/>
        </w:trPr>
        <w:tc>
          <w:tcPr>
            <w:tcW w:w="5120" w:type="dxa"/>
            <w:vAlign w:val="bottom"/>
            <w:gridSpan w:val="3"/>
          </w:tcPr>
          <w:p>
            <w:pPr>
              <w:ind w:left="620"/>
              <w:spacing w:after="0"/>
              <w:rPr>
                <w:sz w:val="20"/>
                <w:szCs w:val="20"/>
                <w:color w:val="auto"/>
              </w:rPr>
            </w:pPr>
            <w:r>
              <w:rPr>
                <w:rFonts w:ascii="Arial" w:cs="Arial" w:eastAsia="Arial" w:hAnsi="Arial"/>
                <w:sz w:val="14"/>
                <w:szCs w:val="14"/>
                <w:color w:val="auto"/>
              </w:rPr>
              <w:t>Total other income (expense), net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760" w:type="dxa"/>
            <w:vAlign w:val="bottom"/>
            <w:gridSpan w:val="2"/>
          </w:tcPr>
          <w:p>
            <w:pPr>
              <w:jc w:val="right"/>
              <w:ind w:right="88"/>
              <w:spacing w:after="0"/>
              <w:rPr>
                <w:sz w:val="20"/>
                <w:szCs w:val="20"/>
                <w:color w:val="auto"/>
              </w:rPr>
            </w:pPr>
            <w:r>
              <w:rPr>
                <w:rFonts w:ascii="Arial" w:cs="Arial" w:eastAsia="Arial" w:hAnsi="Arial"/>
                <w:sz w:val="14"/>
                <w:szCs w:val="14"/>
                <w:color w:val="auto"/>
              </w:rPr>
              <w:t>(1)</w:t>
            </w:r>
          </w:p>
        </w:tc>
        <w:tc>
          <w:tcPr>
            <w:tcW w:w="1780" w:type="dxa"/>
            <w:vAlign w:val="bottom"/>
            <w:gridSpan w:val="2"/>
          </w:tcPr>
          <w:p>
            <w:pPr>
              <w:jc w:val="right"/>
              <w:ind w:right="12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960" w:type="dxa"/>
            <w:vAlign w:val="bottom"/>
            <w:shd w:val="clear" w:color="auto" w:fill="DDDDDD"/>
          </w:tcPr>
          <w:p>
            <w:pPr>
              <w:spacing w:after="0"/>
              <w:rPr>
                <w:sz w:val="20"/>
                <w:szCs w:val="20"/>
                <w:color w:val="auto"/>
              </w:rPr>
            </w:pPr>
            <w:r>
              <w:rPr>
                <w:rFonts w:ascii="Arial" w:cs="Arial" w:eastAsia="Arial" w:hAnsi="Arial"/>
                <w:sz w:val="14"/>
                <w:szCs w:val="14"/>
                <w:color w:val="auto"/>
              </w:rPr>
              <w:t>Net loss before taxes</w:t>
            </w:r>
          </w:p>
        </w:tc>
        <w:tc>
          <w:tcPr>
            <w:tcW w:w="1160" w:type="dxa"/>
            <w:vAlign w:val="bottom"/>
            <w:gridSpan w:val="2"/>
            <w:shd w:val="clear" w:color="auto" w:fill="DDDDDD"/>
          </w:tcPr>
          <w:p>
            <w:pPr>
              <w:spacing w:after="0"/>
              <w:rPr>
                <w:sz w:val="17"/>
                <w:szCs w:val="17"/>
                <w:color w:val="auto"/>
              </w:rPr>
            </w:pPr>
          </w:p>
        </w:tc>
        <w:tc>
          <w:tcPr>
            <w:tcW w:w="54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(24)</w:t>
            </w:r>
          </w:p>
        </w:tc>
        <w:tc>
          <w:tcPr>
            <w:tcW w:w="16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5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(18)</w:t>
            </w:r>
          </w:p>
        </w:tc>
        <w:tc>
          <w:tcPr>
            <w:tcW w:w="1760" w:type="dxa"/>
            <w:vAlign w:val="bottom"/>
            <w:gridSpan w:val="2"/>
            <w:shd w:val="clear" w:color="auto" w:fill="DDDDDD"/>
          </w:tcPr>
          <w:p>
            <w:pPr>
              <w:jc w:val="right"/>
              <w:ind w:right="88"/>
              <w:spacing w:after="0"/>
              <w:rPr>
                <w:sz w:val="20"/>
                <w:szCs w:val="20"/>
                <w:color w:val="auto"/>
              </w:rPr>
            </w:pPr>
            <w:r>
              <w:rPr>
                <w:rFonts w:ascii="Arial" w:cs="Arial" w:eastAsia="Arial" w:hAnsi="Arial"/>
                <w:sz w:val="14"/>
                <w:szCs w:val="14"/>
                <w:color w:val="auto"/>
              </w:rPr>
              <w:t>(26)</w:t>
            </w:r>
          </w:p>
        </w:tc>
        <w:tc>
          <w:tcPr>
            <w:tcW w:w="1780" w:type="dxa"/>
            <w:vAlign w:val="bottom"/>
            <w:gridSpan w:val="2"/>
            <w:shd w:val="clear" w:color="auto" w:fill="DDDDDD"/>
          </w:tcPr>
          <w:p>
            <w:pPr>
              <w:ind w:left="1360"/>
              <w:spacing w:after="0"/>
              <w:rPr>
                <w:sz w:val="20"/>
                <w:szCs w:val="20"/>
                <w:color w:val="auto"/>
              </w:rPr>
            </w:pPr>
            <w:r>
              <w:rPr>
                <w:rFonts w:ascii="Arial" w:cs="Arial" w:eastAsia="Arial" w:hAnsi="Arial"/>
                <w:sz w:val="14"/>
                <w:szCs w:val="14"/>
                <w:color w:val="auto"/>
              </w:rPr>
              <w:t>(11)</w:t>
            </w:r>
          </w:p>
        </w:tc>
        <w:tc>
          <w:tcPr>
            <w:tcW w:w="60" w:type="dxa"/>
            <w:vAlign w:val="bottom"/>
            <w:shd w:val="clear" w:color="auto" w:fill="DDDDDD"/>
          </w:tcPr>
          <w:p>
            <w:pPr>
              <w:spacing w:after="0"/>
              <w:rPr>
                <w:sz w:val="17"/>
                <w:szCs w:val="17"/>
                <w:color w:val="auto"/>
              </w:rPr>
            </w:pPr>
          </w:p>
        </w:tc>
      </w:tr>
      <w:tr>
        <w:trPr>
          <w:trHeight w:val="162"/>
        </w:trPr>
        <w:tc>
          <w:tcPr>
            <w:tcW w:w="512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760" w:type="dxa"/>
            <w:vAlign w:val="bottom"/>
            <w:gridSpan w:val="2"/>
          </w:tcPr>
          <w:p>
            <w:pPr>
              <w:jc w:val="right"/>
              <w:ind w:right="88"/>
              <w:spacing w:after="0"/>
              <w:rPr>
                <w:sz w:val="20"/>
                <w:szCs w:val="20"/>
                <w:color w:val="auto"/>
              </w:rPr>
            </w:pPr>
            <w:r>
              <w:rPr>
                <w:rFonts w:ascii="Arial" w:cs="Arial" w:eastAsia="Arial" w:hAnsi="Arial"/>
                <w:sz w:val="14"/>
                <w:szCs w:val="14"/>
                <w:color w:val="auto"/>
              </w:rPr>
              <w:t>(1)</w:t>
            </w:r>
          </w:p>
        </w:tc>
        <w:tc>
          <w:tcPr>
            <w:tcW w:w="1780" w:type="dxa"/>
            <w:vAlign w:val="bottom"/>
            <w:gridSpan w:val="2"/>
          </w:tcPr>
          <w:p>
            <w:pPr>
              <w:jc w:val="right"/>
              <w:ind w:right="128"/>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396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DDDDDD"/>
          </w:tcPr>
          <w:p>
            <w:pPr>
              <w:spacing w:after="0"/>
              <w:rPr>
                <w:sz w:val="17"/>
                <w:szCs w:val="17"/>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w:t>
            </w:r>
          </w:p>
        </w:tc>
        <w:tc>
          <w:tcPr>
            <w:tcW w:w="17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(27)%</w:t>
            </w:r>
          </w:p>
        </w:tc>
        <w:tc>
          <w:tcPr>
            <w:tcW w:w="1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DDDDDD"/>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2020 and 2021</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Consumer</w:t>
            </w:r>
          </w:p>
        </w:tc>
        <w:tc>
          <w:tcPr>
            <w:tcW w:w="5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157,257</w:t>
            </w:r>
          </w:p>
        </w:tc>
        <w:tc>
          <w:tcPr>
            <w:tcW w:w="30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171,837</w:t>
            </w:r>
          </w:p>
        </w:tc>
        <w:tc>
          <w:tcPr>
            <w:tcW w:w="6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DDDDD"/>
          </w:tcPr>
          <w:p>
            <w:pPr>
              <w:ind w:left="300"/>
              <w:spacing w:after="0"/>
              <w:rPr>
                <w:sz w:val="20"/>
                <w:szCs w:val="20"/>
                <w:color w:val="auto"/>
              </w:rPr>
            </w:pPr>
            <w:r>
              <w:rPr>
                <w:rFonts w:ascii="Arial" w:cs="Arial" w:eastAsia="Arial" w:hAnsi="Arial"/>
                <w:sz w:val="14"/>
                <w:szCs w:val="14"/>
                <w:color w:val="auto"/>
              </w:rPr>
              <w:t>14,580</w:t>
            </w:r>
          </w:p>
        </w:tc>
        <w:tc>
          <w:tcPr>
            <w:tcW w:w="5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Enterprise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44,111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78,806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color w:val="auto"/>
              </w:rPr>
              <w:t>34,695</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shd w:val="clear" w:color="auto" w:fill="DDDDDD"/>
          </w:tcPr>
          <w:p>
            <w:pPr>
              <w:spacing w:after="0"/>
              <w:rPr>
                <w:sz w:val="20"/>
                <w:szCs w:val="20"/>
                <w:color w:val="auto"/>
              </w:rPr>
            </w:pPr>
            <w:r>
              <w:rPr>
                <w:rFonts w:ascii="Arial" w:cs="Arial" w:eastAsia="Arial" w:hAnsi="Arial"/>
                <w:sz w:val="14"/>
                <w:szCs w:val="14"/>
                <w:color w:val="auto"/>
              </w:rPr>
              <w:t>Total revenues</w:t>
            </w:r>
          </w:p>
        </w:tc>
        <w:tc>
          <w:tcPr>
            <w:tcW w:w="5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201,368</w:t>
            </w:r>
          </w:p>
        </w:tc>
        <w:tc>
          <w:tcPr>
            <w:tcW w:w="30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250,643</w:t>
            </w:r>
          </w:p>
        </w:tc>
        <w:tc>
          <w:tcPr>
            <w:tcW w:w="6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DDDDD"/>
          </w:tcPr>
          <w:p>
            <w:pPr>
              <w:ind w:left="300"/>
              <w:spacing w:after="0"/>
              <w:rPr>
                <w:sz w:val="20"/>
                <w:szCs w:val="20"/>
                <w:color w:val="auto"/>
              </w:rPr>
            </w:pPr>
            <w:r>
              <w:rPr>
                <w:rFonts w:ascii="Arial" w:cs="Arial" w:eastAsia="Arial" w:hAnsi="Arial"/>
                <w:sz w:val="14"/>
                <w:szCs w:val="14"/>
                <w:color w:val="auto"/>
              </w:rPr>
              <w:t>49,275</w:t>
            </w:r>
          </w:p>
        </w:tc>
        <w:tc>
          <w:tcPr>
            <w:tcW w:w="5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line="20" w:lineRule="exact"/>
              <w:rPr>
                <w:sz w:val="1"/>
                <w:szCs w:val="1"/>
                <w:color w:val="auto"/>
              </w:rPr>
            </w:pPr>
          </w:p>
        </w:tc>
      </w:tr>
      <w:tr>
        <w:trPr>
          <w:trHeight w:val="339"/>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Revenue for the six months ended June 30, 2021 was $ 250.6 million, compared to $201.4 million for the same period in the prior year. Revenue increased by $49.3 million, or 24%, compared to the same period in the prior year. For the six months ended June 30, 2021, consumer and enterprise revenues were $171.8 million and $78.8 million, respectively, representing 69% and 31% of total revenue, respectively, compared to $157.3 million and $44.1 million, respectively, representing 78% and 22% of total revenue, respectively, for the same period in the prior year. The increase in revenue for the six months ended June 30, 2021 was primarily driven by the significant growth in our UB customers.</w:t>
      </w:r>
    </w:p>
    <w:p>
      <w:pPr>
        <w:spacing w:after="0" w:line="205"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For the six months ended June 30, 2021, total consumer revenue increased by $14.6 million, or 9%, compared to the same period in the prior year. The increase in consumer revenue was driven by a $10.5 million increase in revenue recognized in the period deferred from course purchases in the prior fiscal year. The remaining increase in consumer revenue was driven by an increase in the average purchase price of courses when compared to the same period in the prior year, partially offset by a 10% decrease in monthly average buyers.</w:t>
      </w:r>
    </w:p>
    <w:p>
      <w:pPr>
        <w:spacing w:after="0" w:line="18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experienced a significant acceleration in the growth of our monthly average buyers during the second quarter of 2020 due in part to the effects of the COVID-19 pandemic. Due to the ratable recognition of our consumer revenue over a four month estimated service period, we expect that total consumer revenue recognized in the third quarter of 2021 will decrease when compared with the third quarter of 2020.</w:t>
      </w:r>
    </w:p>
    <w:p>
      <w:pPr>
        <w:spacing w:after="0" w:line="20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For the six months ended June 30, 2021, total enterprise revenue increased by $34.7 million, or 79%, compared to the same period in the prior year. The increase in enterprise revenue was primarily driven by a 36% increase in the number of UB customers to 8,669 as of June 30, 2021 from 6,396 as of June 30, 2020, as well as an increase in the average deal size per new customer and net expansions in our existing UB customer base for the six months ended June 30, 2021. Pricing was not a significant driver of the increase in revenue.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gross profit and gross margin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86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Cost of revenues</w:t>
            </w:r>
          </w:p>
        </w:tc>
        <w:tc>
          <w:tcPr>
            <w:tcW w:w="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104,670</w:t>
            </w:r>
          </w:p>
        </w:tc>
        <w:tc>
          <w:tcPr>
            <w:tcW w:w="42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DDDDDD"/>
          </w:tcPr>
          <w:p>
            <w:pPr>
              <w:jc w:val="right"/>
              <w:ind w:right="480"/>
              <w:spacing w:after="0"/>
              <w:rPr>
                <w:sz w:val="20"/>
                <w:szCs w:val="20"/>
                <w:color w:val="auto"/>
              </w:rPr>
            </w:pPr>
            <w:r>
              <w:rPr>
                <w:rFonts w:ascii="Arial" w:cs="Arial" w:eastAsia="Arial" w:hAnsi="Arial"/>
                <w:sz w:val="14"/>
                <w:szCs w:val="14"/>
                <w:color w:val="auto"/>
              </w:rPr>
              <w:t>113,916</w:t>
            </w:r>
          </w:p>
        </w:tc>
        <w:tc>
          <w:tcPr>
            <w:tcW w:w="2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9,246</w:t>
            </w:r>
          </w:p>
        </w:tc>
        <w:tc>
          <w:tcPr>
            <w:tcW w:w="46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9%</w:t>
            </w: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Gross profit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96,698</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136,727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40,029</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r>
      <w:tr>
        <w:trPr>
          <w:trHeight w:val="216"/>
        </w:trPr>
        <w:tc>
          <w:tcPr>
            <w:tcW w:w="5860" w:type="dxa"/>
            <w:vAlign w:val="bottom"/>
            <w:shd w:val="clear" w:color="auto" w:fill="DDDDDD"/>
          </w:tcPr>
          <w:p>
            <w:pPr>
              <w:spacing w:after="0"/>
              <w:rPr>
                <w:sz w:val="20"/>
                <w:szCs w:val="20"/>
                <w:color w:val="auto"/>
              </w:rPr>
            </w:pPr>
            <w:r>
              <w:rPr>
                <w:rFonts w:ascii="Arial" w:cs="Arial" w:eastAsia="Arial" w:hAnsi="Arial"/>
                <w:sz w:val="14"/>
                <w:szCs w:val="14"/>
                <w:color w:val="auto"/>
              </w:rPr>
              <w:t>Gross margin</w:t>
            </w:r>
          </w:p>
        </w:tc>
        <w:tc>
          <w:tcPr>
            <w:tcW w:w="32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1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48%</w:t>
            </w:r>
          </w:p>
        </w:tc>
        <w:tc>
          <w:tcPr>
            <w:tcW w:w="420" w:type="dxa"/>
            <w:vAlign w:val="bottom"/>
            <w:shd w:val="clear" w:color="auto" w:fill="DDDDDD"/>
          </w:tcPr>
          <w:p>
            <w:pPr>
              <w:spacing w:after="0"/>
              <w:rPr>
                <w:sz w:val="18"/>
                <w:szCs w:val="18"/>
                <w:color w:val="auto"/>
              </w:rPr>
            </w:pPr>
          </w:p>
        </w:tc>
        <w:tc>
          <w:tcPr>
            <w:tcW w:w="1340" w:type="dxa"/>
            <w:vAlign w:val="bottom"/>
            <w:gridSpan w:val="2"/>
            <w:shd w:val="clear" w:color="auto" w:fill="DDDDDD"/>
          </w:tcPr>
          <w:p>
            <w:pPr>
              <w:jc w:val="right"/>
              <w:ind w:right="360"/>
              <w:spacing w:after="0"/>
              <w:rPr>
                <w:sz w:val="20"/>
                <w:szCs w:val="20"/>
                <w:color w:val="auto"/>
              </w:rPr>
            </w:pPr>
            <w:r>
              <w:rPr>
                <w:rFonts w:ascii="Arial" w:cs="Arial" w:eastAsia="Arial" w:hAnsi="Arial"/>
                <w:sz w:val="14"/>
                <w:szCs w:val="14"/>
                <w:color w:val="auto"/>
              </w:rPr>
              <w:t>55%</w:t>
            </w:r>
          </w:p>
        </w:tc>
        <w:tc>
          <w:tcPr>
            <w:tcW w:w="26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revenue for the six months ended June 30, 2021 was $113.9 million, compared to $104.7 million for the same period in the prior</w:t>
      </w:r>
    </w:p>
    <w:p>
      <w:pPr>
        <w:ind w:left="120"/>
        <w:spacing w:after="0" w:line="234" w:lineRule="auto"/>
        <w:rPr>
          <w:sz w:val="20"/>
          <w:szCs w:val="20"/>
          <w:color w:val="auto"/>
        </w:rPr>
      </w:pPr>
      <w:r>
        <w:rPr>
          <w:rFonts w:ascii="Arial" w:cs="Arial" w:eastAsia="Arial" w:hAnsi="Arial"/>
          <w:sz w:val="18"/>
          <w:szCs w:val="18"/>
          <w:color w:val="auto"/>
        </w:rPr>
        <w:t>year. The increase in revenue resulted in an overall increase of $5.6 million in costs related to content costs. Content costs for the</w:t>
      </w:r>
    </w:p>
    <w:p>
      <w:pPr>
        <w:ind w:left="120"/>
        <w:spacing w:after="0" w:line="235" w:lineRule="auto"/>
        <w:rPr>
          <w:sz w:val="20"/>
          <w:szCs w:val="20"/>
          <w:color w:val="auto"/>
        </w:rPr>
      </w:pPr>
      <w:r>
        <w:rPr>
          <w:rFonts w:ascii="Arial" w:cs="Arial" w:eastAsia="Arial" w:hAnsi="Arial"/>
          <w:sz w:val="18"/>
          <w:szCs w:val="18"/>
          <w:color w:val="auto"/>
        </w:rPr>
        <w:t>consumer and enterprise segments were $67.3 million and $19.4 million for the six months ended June 30, 2021, respectively, compared</w:t>
      </w:r>
    </w:p>
    <w:p>
      <w:pPr>
        <w:ind w:left="120"/>
        <w:spacing w:after="0" w:line="235" w:lineRule="auto"/>
        <w:rPr>
          <w:sz w:val="20"/>
          <w:szCs w:val="20"/>
          <w:color w:val="auto"/>
        </w:rPr>
      </w:pPr>
      <w:r>
        <w:rPr>
          <w:rFonts w:ascii="Arial" w:cs="Arial" w:eastAsia="Arial" w:hAnsi="Arial"/>
          <w:sz w:val="18"/>
          <w:szCs w:val="18"/>
          <w:color w:val="auto"/>
        </w:rPr>
        <w:t>to $70.2 million and $10.9 million for the same period in the prior year, respectively. Content costs as a percentage of segment revenue for</w:t>
      </w:r>
    </w:p>
    <w:p>
      <w:pPr>
        <w:ind w:left="120"/>
        <w:spacing w:after="0" w:line="235" w:lineRule="auto"/>
        <w:rPr>
          <w:sz w:val="20"/>
          <w:szCs w:val="20"/>
          <w:color w:val="auto"/>
        </w:rPr>
      </w:pPr>
      <w:r>
        <w:rPr>
          <w:rFonts w:ascii="Arial" w:cs="Arial" w:eastAsia="Arial" w:hAnsi="Arial"/>
          <w:sz w:val="18"/>
          <w:szCs w:val="18"/>
          <w:color w:val="auto"/>
        </w:rPr>
        <w:t>the consumer and enterprise segments were 39% and 25% for the six months ended June 30, 2021, respectively, compared to 45% and</w:t>
      </w:r>
    </w:p>
    <w:p>
      <w:pPr>
        <w:ind w:left="120"/>
        <w:spacing w:after="0" w:line="235" w:lineRule="auto"/>
        <w:rPr>
          <w:sz w:val="20"/>
          <w:szCs w:val="20"/>
          <w:color w:val="auto"/>
        </w:rPr>
      </w:pPr>
      <w:r>
        <w:rPr>
          <w:rFonts w:ascii="Arial" w:cs="Arial" w:eastAsia="Arial" w:hAnsi="Arial"/>
          <w:sz w:val="18"/>
          <w:szCs w:val="18"/>
          <w:color w:val="auto"/>
        </w:rPr>
        <w:t>25% for the same period in the prior year, respectively. In our consumer segment, credit card and mobile processing fees decreased by</w:t>
      </w:r>
    </w:p>
    <w:p>
      <w:pPr>
        <w:ind w:left="120"/>
        <w:spacing w:after="0" w:line="234" w:lineRule="auto"/>
        <w:rPr>
          <w:sz w:val="20"/>
          <w:szCs w:val="20"/>
          <w:color w:val="auto"/>
        </w:rPr>
      </w:pPr>
      <w:r>
        <w:rPr>
          <w:rFonts w:ascii="Arial" w:cs="Arial" w:eastAsia="Arial" w:hAnsi="Arial"/>
          <w:sz w:val="18"/>
          <w:szCs w:val="18"/>
          <w:color w:val="auto"/>
        </w:rPr>
        <w:t>$2.0 million in the six months ended June 30, 2021 as compared to the same period in the prior year. In our enterprise segment, customer</w:t>
      </w:r>
    </w:p>
    <w:p>
      <w:pPr>
        <w:ind w:left="120"/>
        <w:spacing w:after="0" w:line="235" w:lineRule="auto"/>
        <w:rPr>
          <w:sz w:val="20"/>
          <w:szCs w:val="20"/>
          <w:color w:val="auto"/>
        </w:rPr>
      </w:pPr>
      <w:r>
        <w:rPr>
          <w:rFonts w:ascii="Arial" w:cs="Arial" w:eastAsia="Arial" w:hAnsi="Arial"/>
          <w:sz w:val="18"/>
          <w:szCs w:val="18"/>
          <w:color w:val="auto"/>
        </w:rPr>
        <w:t>support costs increased by $3.7 million in the six months ended June 30, 2021 as compared to the same period in the prior year.</w:t>
      </w:r>
    </w:p>
    <w:p>
      <w:pPr>
        <w:ind w:left="120"/>
        <w:spacing w:after="0" w:line="235" w:lineRule="auto"/>
        <w:rPr>
          <w:sz w:val="20"/>
          <w:szCs w:val="20"/>
          <w:color w:val="auto"/>
        </w:rPr>
      </w:pPr>
      <w:r>
        <w:rPr>
          <w:rFonts w:ascii="Arial" w:cs="Arial" w:eastAsia="Arial" w:hAnsi="Arial"/>
          <w:sz w:val="18"/>
          <w:szCs w:val="18"/>
          <w:color w:val="auto"/>
        </w:rPr>
        <w:t>Additionally, there was a $0.4 million increase in third-party cloud hosting costs and an increase of $1.0 million in amortization expense of</w:t>
      </w:r>
    </w:p>
    <w:p>
      <w:pPr>
        <w:ind w:left="120"/>
        <w:spacing w:after="0"/>
        <w:rPr>
          <w:sz w:val="20"/>
          <w:szCs w:val="20"/>
          <w:color w:val="auto"/>
        </w:rPr>
      </w:pPr>
      <w:r>
        <w:rPr>
          <w:rFonts w:ascii="Arial" w:cs="Arial" w:eastAsia="Arial" w:hAnsi="Arial"/>
          <w:sz w:val="18"/>
          <w:szCs w:val="18"/>
          <w:color w:val="auto"/>
        </w:rPr>
        <w:t>capitalized software.</w:t>
      </w:r>
    </w:p>
    <w:p>
      <w:pPr>
        <w:spacing w:after="0" w:line="212"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Gross margin was 55% for the six months ended June 30, 2021, compared to 48% for the same period in the prior year. The increase in gross margin was primarily due to a shift in mix of revenue toward our enterprise business, which has comparatively lower content costs as a percentage of revenue relative to the consumer segment.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DDDDDD"/>
          </w:tcPr>
          <w:p>
            <w:pPr>
              <w:ind w:left="260"/>
              <w:spacing w:after="0"/>
              <w:rPr>
                <w:sz w:val="20"/>
                <w:szCs w:val="20"/>
                <w:color w:val="auto"/>
              </w:rPr>
            </w:pPr>
            <w:r>
              <w:rPr>
                <w:rFonts w:ascii="Arial" w:cs="Arial" w:eastAsia="Arial" w:hAnsi="Arial"/>
                <w:sz w:val="14"/>
                <w:szCs w:val="14"/>
                <w:color w:val="auto"/>
              </w:rPr>
              <w:t>Sales and marketing</w:t>
            </w:r>
          </w:p>
        </w:tc>
        <w:tc>
          <w:tcPr>
            <w:tcW w:w="2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96,176</w:t>
            </w:r>
          </w:p>
        </w:tc>
        <w:tc>
          <w:tcPr>
            <w:tcW w:w="1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104,141</w:t>
            </w:r>
          </w:p>
        </w:tc>
        <w:tc>
          <w:tcPr>
            <w:tcW w:w="3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DDDDD"/>
          </w:tcPr>
          <w:p>
            <w:pPr>
              <w:jc w:val="right"/>
              <w:ind w:right="460"/>
              <w:spacing w:after="0"/>
              <w:rPr>
                <w:sz w:val="20"/>
                <w:szCs w:val="20"/>
                <w:color w:val="auto"/>
              </w:rPr>
            </w:pPr>
            <w:r>
              <w:rPr>
                <w:rFonts w:ascii="Arial" w:cs="Arial" w:eastAsia="Arial" w:hAnsi="Arial"/>
                <w:sz w:val="14"/>
                <w:szCs w:val="14"/>
                <w:color w:val="auto"/>
              </w:rPr>
              <w:t>7,965</w:t>
            </w:r>
          </w:p>
        </w:tc>
        <w:tc>
          <w:tcPr>
            <w:tcW w:w="66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660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24,295</w:t>
            </w:r>
          </w:p>
        </w:tc>
        <w:tc>
          <w:tcPr>
            <w:tcW w:w="1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30,196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5,901</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6"/>
        </w:trPr>
        <w:tc>
          <w:tcPr>
            <w:tcW w:w="6600" w:type="dxa"/>
            <w:vAlign w:val="bottom"/>
            <w:shd w:val="clear" w:color="auto" w:fill="DDDDDD"/>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26,035</w:t>
            </w:r>
          </w:p>
        </w:tc>
        <w:tc>
          <w:tcPr>
            <w:tcW w:w="24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29,802</w:t>
            </w: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3,767</w:t>
            </w:r>
          </w:p>
        </w:tc>
        <w:tc>
          <w:tcPr>
            <w:tcW w:w="460" w:type="dxa"/>
            <w:vAlign w:val="bottom"/>
            <w:shd w:val="clear" w:color="auto" w:fill="DDDDDD"/>
          </w:tcPr>
          <w:p>
            <w:pPr>
              <w:spacing w:after="0"/>
              <w:rPr>
                <w:sz w:val="18"/>
                <w:szCs w:val="18"/>
                <w:color w:val="auto"/>
              </w:rPr>
            </w:pPr>
          </w:p>
        </w:tc>
        <w:tc>
          <w:tcPr>
            <w:tcW w:w="66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146,506</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164,139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17,633</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for the six months ended June 30, 2020 were $96.2 million, compared to $104.1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2021. The $8.0 million increase in sales and marketing expense was primarily due to higher personnel-related expenses of $14.2 million, mainly driven by additional headcount in our sales force to support increased demand for our platform, and a $4.3 million increase in amortization of deferred contract acquisition costs, driven by an expansion of our UB customer base over time, offset by a decrease of $6.7 million related to direct advertising and promotion costs and a decrease of $1.8 million related to stock-based compensation.</w:t>
      </w:r>
    </w:p>
    <w:p>
      <w:pPr>
        <w:spacing w:after="0" w:line="184"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six months ended June 30, 2020 were $24.3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$30.2 million for the six months ended June 30, 2021. The $5.9 million increase was primarily due to higher personnel-related expenses of $5.4 million, mainly driven by additional headcount.</w:t>
      </w:r>
    </w:p>
    <w:p>
      <w:pPr>
        <w:spacing w:after="0" w:line="177"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for the six months ended June 30, 2020 were $26.0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$29.8 million for the six months ended June 30, 2021. The $3.8 million increase in general and administrative expense was primarily due to an increase of $3.4 million in personnel-related expenses, mainly driven by additional headcount, a $2.8 million increase in professional services, mainly related to accounting and tax services to support the growth of our business, and a $0.9 million increase in other corporate expenses, offset by a decrease of $2.6 million related to stock-based compensation and a decrease of $1.0 million related to changes in our US sales and other indirect tax reserves.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 net</w:t>
      </w:r>
    </w:p>
    <w:p>
      <w:pPr>
        <w:spacing w:after="0" w:line="230"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Total other income (expense), net for the six months ended June 30, 2020 was $0.9 million, compared to $ 0.9 million for the six months ended June 30, 2021. Total other income (expense), net for the six months ended June 30, 2020 reflected primarily interest expense on indirect tax reserve liabilities, offset by interest income earned on invested cash balances. Total other income (expense), net for the six months ended June 30, 2021 reflected primarily interest expense on indirect tax reserve liabilities.</w:t>
      </w:r>
    </w:p>
    <w:p>
      <w:pPr>
        <w:spacing w:after="0" w:line="205"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Due to sales and maturities of our portfolio of marketable securities during 2019, there were no outstanding marketable securities as of June 30, 2020 and 2021.</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provision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55"/>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r>
      <w:tr>
        <w:trPr>
          <w:trHeight w:val="183"/>
        </w:trPr>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960" w:type="dxa"/>
            <w:vAlign w:val="bottom"/>
            <w:shd w:val="clear" w:color="auto" w:fill="DDDDDD"/>
          </w:tcPr>
          <w:p>
            <w:pPr>
              <w:spacing w:after="0"/>
              <w:rPr>
                <w:sz w:val="20"/>
                <w:szCs w:val="20"/>
                <w:color w:val="auto"/>
              </w:rPr>
            </w:pPr>
            <w:r>
              <w:rPr>
                <w:rFonts w:ascii="Arial" w:cs="Arial" w:eastAsia="Arial" w:hAnsi="Arial"/>
                <w:sz w:val="14"/>
                <w:szCs w:val="14"/>
                <w:color w:val="auto"/>
              </w:rPr>
              <w:t>Income tax provision</w:t>
            </w:r>
          </w:p>
        </w:tc>
        <w:tc>
          <w:tcPr>
            <w:tcW w:w="4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(1,766)</w:t>
            </w:r>
          </w:p>
        </w:tc>
        <w:tc>
          <w:tcPr>
            <w:tcW w:w="3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(1,059)</w:t>
            </w:r>
          </w:p>
        </w:tc>
        <w:tc>
          <w:tcPr>
            <w:tcW w:w="40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707</w:t>
            </w:r>
          </w:p>
        </w:tc>
        <w:tc>
          <w:tcPr>
            <w:tcW w:w="13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(40)%</w:t>
            </w:r>
          </w:p>
        </w:tc>
      </w:tr>
    </w:tbl>
    <w:p>
      <w:pPr>
        <w:spacing w:after="0" w:line="215"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For the six months ended June 30, 2020, we recognized income tax expense of $1.8 million, compared to $1.1 million for the six months ended June 30, 2021. The tax expenses for the six months ended June 30, 2020 and 2021 were primarily due to foreign taxes.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Consumer</w:t>
            </w:r>
          </w:p>
        </w:tc>
        <w:tc>
          <w:tcPr>
            <w:tcW w:w="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225,500</w:t>
            </w:r>
          </w:p>
        </w:tc>
        <w:tc>
          <w:tcPr>
            <w:tcW w:w="5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326,454</w:t>
            </w:r>
          </w:p>
        </w:tc>
        <w:tc>
          <w:tcPr>
            <w:tcW w:w="74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100,954</w:t>
            </w:r>
          </w:p>
        </w:tc>
        <w:tc>
          <w:tcPr>
            <w:tcW w:w="260" w:type="dxa"/>
            <w:vAlign w:val="bottom"/>
            <w:shd w:val="clear" w:color="auto" w:fill="DDDDDD"/>
          </w:tcPr>
          <w:p>
            <w:pPr>
              <w:spacing w:after="0"/>
              <w:rPr>
                <w:sz w:val="18"/>
                <w:szCs w:val="18"/>
                <w:color w:val="auto"/>
              </w:rPr>
            </w:pPr>
          </w:p>
        </w:tc>
        <w:tc>
          <w:tcPr>
            <w:tcW w:w="60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Enterprise</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50,827</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103,445</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52,618</w:t>
            </w:r>
          </w:p>
        </w:tc>
        <w:tc>
          <w:tcPr>
            <w:tcW w:w="2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shd w:val="clear" w:color="auto" w:fill="DDDDDD"/>
          </w:tcPr>
          <w:p>
            <w:pPr>
              <w:spacing w:after="0"/>
              <w:rPr>
                <w:sz w:val="20"/>
                <w:szCs w:val="20"/>
                <w:color w:val="auto"/>
              </w:rPr>
            </w:pPr>
            <w:r>
              <w:rPr>
                <w:rFonts w:ascii="Arial" w:cs="Arial" w:eastAsia="Arial" w:hAnsi="Arial"/>
                <w:sz w:val="14"/>
                <w:szCs w:val="14"/>
                <w:color w:val="auto"/>
              </w:rPr>
              <w:t>Total revenues</w:t>
            </w:r>
          </w:p>
        </w:tc>
        <w:tc>
          <w:tcPr>
            <w:tcW w:w="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276,327</w:t>
            </w:r>
          </w:p>
        </w:tc>
        <w:tc>
          <w:tcPr>
            <w:tcW w:w="5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429,899</w:t>
            </w:r>
          </w:p>
        </w:tc>
        <w:tc>
          <w:tcPr>
            <w:tcW w:w="74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153,572</w:t>
            </w:r>
          </w:p>
        </w:tc>
        <w:tc>
          <w:tcPr>
            <w:tcW w:w="260" w:type="dxa"/>
            <w:vAlign w:val="bottom"/>
            <w:shd w:val="clear" w:color="auto" w:fill="DDDDDD"/>
          </w:tcPr>
          <w:p>
            <w:pPr>
              <w:spacing w:after="0"/>
              <w:rPr>
                <w:sz w:val="17"/>
                <w:szCs w:val="17"/>
                <w:color w:val="auto"/>
              </w:rPr>
            </w:pPr>
          </w:p>
        </w:tc>
        <w:tc>
          <w:tcPr>
            <w:tcW w:w="60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Revenue for 2019 was $276.3 million, compared to $429.9 million for 2020. Revenue increased by $153.6 million, or 56% compared to 2019. For 2019, consumer and enterprise revenue was $225.5 million and $50.8 million, or 82% and 18% of total revenue, respectively, compared to $326.5 million and $103.4 million, or 76% and 24% of total revenue, respectively, for 2020. The increase in revenue in 2020 was primarily driven by the significant expansion of our learner base, which resulted in a substantial number of additional buyers, as well as significant growth in our UB customers. These trends were accelerated in part due to the effects of the COVID-19 pandemic.</w:t>
      </w:r>
    </w:p>
    <w:p>
      <w:pPr>
        <w:spacing w:after="0" w:line="202"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For 2020, total consumer revenue increased by $101.0 million, or 45%, compared to 2019. The increase in consumer revenue was primarily driven by a 50% increase in monthly average buyers. Pricing was not a significant driver of the increase in revenue.</w:t>
      </w:r>
    </w:p>
    <w:p>
      <w:pPr>
        <w:spacing w:after="0" w:line="197"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For 2020, total enterprise revenue increased by $ 52.6 million, or 104%, compared to 2019. The increase in enterprise revenue was primarily driven by a 41% increase in the number of UB customers to 7,300 as of December 31, 2020 from 5,174 as of December 31, 2019, as well as net expansions in our existing UB customer base for the year ended December 31, 2020. Pricing was not a significant driver of the increase in revenue.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gross profit and gross margin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5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r>
      <w:tr>
        <w:trPr>
          <w:trHeight w:val="155"/>
        </w:trPr>
        <w:tc>
          <w:tcPr>
            <w:tcW w:w="5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8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78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Cost of revenues</w:t>
            </w:r>
          </w:p>
        </w:tc>
        <w:tc>
          <w:tcPr>
            <w:tcW w:w="5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143,510</w:t>
            </w:r>
          </w:p>
        </w:tc>
        <w:tc>
          <w:tcPr>
            <w:tcW w:w="5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DDDDDD"/>
          </w:tcPr>
          <w:p>
            <w:pPr>
              <w:jc w:val="right"/>
              <w:ind w:right="480"/>
              <w:spacing w:after="0"/>
              <w:rPr>
                <w:sz w:val="20"/>
                <w:szCs w:val="20"/>
                <w:color w:val="auto"/>
              </w:rPr>
            </w:pPr>
            <w:r>
              <w:rPr>
                <w:rFonts w:ascii="Arial" w:cs="Arial" w:eastAsia="Arial" w:hAnsi="Arial"/>
                <w:sz w:val="14"/>
                <w:szCs w:val="14"/>
                <w:color w:val="auto"/>
              </w:rPr>
              <w:t>209,253</w:t>
            </w:r>
          </w:p>
        </w:tc>
        <w:tc>
          <w:tcPr>
            <w:tcW w:w="2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DDDDDD"/>
          </w:tcPr>
          <w:p>
            <w:pPr>
              <w:ind w:left="280"/>
              <w:spacing w:after="0"/>
              <w:rPr>
                <w:sz w:val="20"/>
                <w:szCs w:val="20"/>
                <w:color w:val="auto"/>
              </w:rPr>
            </w:pPr>
            <w:r>
              <w:rPr>
                <w:rFonts w:ascii="Arial" w:cs="Arial" w:eastAsia="Arial" w:hAnsi="Arial"/>
                <w:sz w:val="14"/>
                <w:szCs w:val="14"/>
                <w:color w:val="auto"/>
              </w:rPr>
              <w:t>65,743</w:t>
            </w:r>
          </w:p>
        </w:tc>
        <w:tc>
          <w:tcPr>
            <w:tcW w:w="38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46%</w:t>
            </w: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132,817</w:t>
            </w:r>
          </w:p>
        </w:tc>
        <w:tc>
          <w:tcPr>
            <w:tcW w:w="54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220,646</w:t>
            </w:r>
          </w:p>
        </w:tc>
        <w:tc>
          <w:tcPr>
            <w:tcW w:w="280" w:type="dxa"/>
            <w:vAlign w:val="bottom"/>
          </w:tcPr>
          <w:p>
            <w:pPr>
              <w:spacing w:after="0"/>
              <w:rPr>
                <w:sz w:val="14"/>
                <w:szCs w:val="14"/>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color w:val="auto"/>
              </w:rPr>
              <w:t>87,829</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66%</w:t>
            </w:r>
          </w:p>
        </w:tc>
      </w:tr>
      <w:tr>
        <w:trPr>
          <w:trHeight w:val="216"/>
        </w:trPr>
        <w:tc>
          <w:tcPr>
            <w:tcW w:w="5780" w:type="dxa"/>
            <w:vAlign w:val="bottom"/>
            <w:shd w:val="clear" w:color="auto" w:fill="DDDDDD"/>
          </w:tcPr>
          <w:p>
            <w:pPr>
              <w:spacing w:after="0"/>
              <w:rPr>
                <w:sz w:val="20"/>
                <w:szCs w:val="20"/>
                <w:color w:val="auto"/>
              </w:rPr>
            </w:pPr>
            <w:r>
              <w:rPr>
                <w:rFonts w:ascii="Arial" w:cs="Arial" w:eastAsia="Arial" w:hAnsi="Arial"/>
                <w:sz w:val="14"/>
                <w:szCs w:val="14"/>
                <w:color w:val="auto"/>
              </w:rPr>
              <w:t>Gross margin</w:t>
            </w:r>
          </w:p>
        </w:tc>
        <w:tc>
          <w:tcPr>
            <w:tcW w:w="32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48%</w:t>
            </w:r>
          </w:p>
        </w:tc>
        <w:tc>
          <w:tcPr>
            <w:tcW w:w="540" w:type="dxa"/>
            <w:vAlign w:val="bottom"/>
            <w:shd w:val="clear" w:color="auto" w:fill="DDDDDD"/>
          </w:tcPr>
          <w:p>
            <w:pPr>
              <w:spacing w:after="0"/>
              <w:rPr>
                <w:sz w:val="18"/>
                <w:szCs w:val="18"/>
                <w:color w:val="auto"/>
              </w:rPr>
            </w:pPr>
          </w:p>
        </w:tc>
        <w:tc>
          <w:tcPr>
            <w:tcW w:w="1340" w:type="dxa"/>
            <w:vAlign w:val="bottom"/>
            <w:gridSpan w:val="2"/>
            <w:shd w:val="clear" w:color="auto" w:fill="DDDDDD"/>
          </w:tcPr>
          <w:p>
            <w:pPr>
              <w:jc w:val="right"/>
              <w:ind w:right="360"/>
              <w:spacing w:after="0"/>
              <w:rPr>
                <w:sz w:val="20"/>
                <w:szCs w:val="20"/>
                <w:color w:val="auto"/>
              </w:rPr>
            </w:pPr>
            <w:r>
              <w:rPr>
                <w:rFonts w:ascii="Arial" w:cs="Arial" w:eastAsia="Arial" w:hAnsi="Arial"/>
                <w:sz w:val="14"/>
                <w:szCs w:val="14"/>
                <w:color w:val="auto"/>
              </w:rPr>
              <w:t>51%</w:t>
            </w:r>
          </w:p>
        </w:tc>
        <w:tc>
          <w:tcPr>
            <w:tcW w:w="2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r>
    </w:tbl>
    <w:p>
      <w:pPr>
        <w:spacing w:after="0" w:line="107"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Cost of revenue for 2019 was $ 143.5 million, compared to $209.3 million for 2020. The increase in revenue resulted in an overall increase of $52.2 million in costs related to content costs. Content costs for the consumer and enterprise segments were $95.9 million and</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$13.3 million for 2019, respectively, compared to $ 136.0 million and $25.4 million for 2020, respectively. Content costs as a percentage of segment revenue for the consumer and enterprise segments were 43% and 26% for 2019, respectively, compared to 42% and 25% for 2020, respectively. In our consumer segment, credit card and mobile processing fees increased by $6.3 million in 2020 as compared to 2019. In our enterprise segment, customer support fees increased by $4.1 million in 2020 as compared to 2019. Additionally, there was a $1.3 million increase in third-party cloud hosting costs and an increase of $2.0 million in amortization expense of capitalized software.</w:t>
      </w:r>
    </w:p>
    <w:p>
      <w:pPr>
        <w:spacing w:after="0" w:line="190"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Gross margin was 48% for 2019, compared to 51% for 2020. The increase in gross margin was primarily due to a shift in mix of revenue toward our enterprise business.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Sales and marketing</w:t>
            </w:r>
          </w:p>
        </w:tc>
        <w:tc>
          <w:tcPr>
            <w:tcW w:w="2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126,436</w:t>
            </w:r>
          </w:p>
        </w:tc>
        <w:tc>
          <w:tcPr>
            <w:tcW w:w="140" w:type="dxa"/>
            <w:vAlign w:val="bottom"/>
            <w:shd w:val="clear" w:color="auto" w:fill="DDDDDD"/>
          </w:tcPr>
          <w:p>
            <w:pPr>
              <w:spacing w:after="0"/>
              <w:rPr>
                <w:sz w:val="18"/>
                <w:szCs w:val="18"/>
                <w:color w:val="auto"/>
              </w:rPr>
            </w:pPr>
          </w:p>
        </w:tc>
        <w:tc>
          <w:tcPr>
            <w:tcW w:w="320" w:type="dxa"/>
            <w:vAlign w:val="bottom"/>
            <w:gridSpan w:val="2"/>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192,600</w:t>
            </w:r>
          </w:p>
        </w:tc>
        <w:tc>
          <w:tcPr>
            <w:tcW w:w="3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66,164</w:t>
            </w:r>
          </w:p>
        </w:tc>
        <w:tc>
          <w:tcPr>
            <w:tcW w:w="360" w:type="dxa"/>
            <w:vAlign w:val="bottom"/>
            <w:shd w:val="clear" w:color="auto" w:fill="DDDDDD"/>
          </w:tcPr>
          <w:p>
            <w:pPr>
              <w:spacing w:after="0"/>
              <w:rPr>
                <w:sz w:val="18"/>
                <w:szCs w:val="18"/>
                <w:color w:val="auto"/>
              </w:rPr>
            </w:pP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3"/>
        </w:trPr>
        <w:tc>
          <w:tcPr>
            <w:tcW w:w="63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34,379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50,643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16,264</w:t>
            </w:r>
          </w:p>
        </w:tc>
        <w:tc>
          <w:tcPr>
            <w:tcW w:w="3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6"/>
        </w:trPr>
        <w:tc>
          <w:tcPr>
            <w:tcW w:w="63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40,033</w:t>
            </w:r>
          </w:p>
        </w:tc>
        <w:tc>
          <w:tcPr>
            <w:tcW w:w="1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50,783</w:t>
            </w:r>
          </w:p>
        </w:tc>
        <w:tc>
          <w:tcPr>
            <w:tcW w:w="12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7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10,750</w:t>
            </w:r>
          </w:p>
        </w:tc>
        <w:tc>
          <w:tcPr>
            <w:tcW w:w="360" w:type="dxa"/>
            <w:vAlign w:val="bottom"/>
            <w:shd w:val="clear" w:color="auto" w:fill="DDDDDD"/>
          </w:tcPr>
          <w:p>
            <w:pPr>
              <w:spacing w:after="0"/>
              <w:rPr>
                <w:sz w:val="18"/>
                <w:szCs w:val="18"/>
                <w:color w:val="auto"/>
              </w:rPr>
            </w:pP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8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200,848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294,026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93,178</w:t>
            </w:r>
          </w:p>
        </w:tc>
        <w:tc>
          <w:tcPr>
            <w:tcW w:w="3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for 2019 were $ 126.4 million, compared to $192.6 million for 2020. The $66.2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and marketing expense was primarily due to higher direct advertising and promotion costs of $ 38.5 million, higher personnel-related expenses of $20.3 million, mainly driven by additional headcount in our sales force to support increased demand for our platform, an increase in stock based compensation expenses of $4.5 million, and a $4.4 million increase in amortization of deferred contract acquisition costs driven by an expansion of our UB customer base over time.</w:t>
      </w:r>
    </w:p>
    <w:p>
      <w:pPr>
        <w:spacing w:after="0" w:line="185"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for 2019 were $34.4 million, compared to $50.6 million for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$16.3 million increase was primarily due to higher personnel-related expenses of $13.2 million, mainly driven by additional headcount as well as a $2.9 million increase in stock-based compensation.</w:t>
      </w:r>
    </w:p>
    <w:p>
      <w:pPr>
        <w:spacing w:after="0" w:line="177"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for 2019 were $ 40.0 million, compared to $50.8 million for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$10.8 million increase in general and administrative expense was primarily due to an increase of $5.1 million in personnel-related expenses, mainly driven by additional headcount and a $15.1 million increase in stock-based compensation, offset by a decrease of $8.9 million related to charges for reserves on indirect taxes.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 net</w:t>
      </w:r>
    </w:p>
    <w:p>
      <w:pPr>
        <w:spacing w:after="0" w:line="23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Total other income (expense), net for 2019 was $0.3 million, compared to $1.1 million for 2020. Total other income (expense), net for 2019 reflected primarily interest expense on indirect tax reserve liabilities, offset by interest income earned on invested cash balances. Total other income (expense), net for 2020 reflected primarily interest expense on indirect tax reserve liabilities.</w:t>
      </w:r>
    </w:p>
    <w:p>
      <w:pPr>
        <w:spacing w:after="0" w:line="20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Due to sales and maturities of our portfolio of marketable securities during fiscal 2019, there were no outstanding marketable securities as of December 31, 2019 and 2020. Interest income was also lower during 2020 compared to 2019 due to these sales and maturities.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provision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r>
      <w:tr>
        <w:trPr>
          <w:trHeight w:val="196"/>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540" w:type="dxa"/>
            <w:vAlign w:val="bottom"/>
            <w:shd w:val="clear" w:color="auto" w:fill="DDDDDD"/>
          </w:tcPr>
          <w:p>
            <w:pPr>
              <w:spacing w:after="0"/>
              <w:rPr>
                <w:sz w:val="20"/>
                <w:szCs w:val="20"/>
                <w:color w:val="auto"/>
              </w:rPr>
            </w:pPr>
            <w:r>
              <w:rPr>
                <w:rFonts w:ascii="Arial" w:cs="Arial" w:eastAsia="Arial" w:hAnsi="Arial"/>
                <w:sz w:val="14"/>
                <w:szCs w:val="14"/>
                <w:color w:val="auto"/>
              </w:rPr>
              <w:t>Income tax provision</w:t>
            </w:r>
          </w:p>
        </w:tc>
        <w:tc>
          <w:tcPr>
            <w:tcW w:w="1080" w:type="dxa"/>
            <w:vAlign w:val="bottom"/>
            <w:gridSpan w:val="2"/>
            <w:shd w:val="clear" w:color="auto" w:fill="DDDDDD"/>
          </w:tcPr>
          <w:p>
            <w:pPr>
              <w:jc w:val="right"/>
              <w:ind w:right="6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(1,375)</w:t>
            </w:r>
          </w:p>
        </w:tc>
        <w:tc>
          <w:tcPr>
            <w:tcW w:w="3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(3,149)</w:t>
            </w:r>
          </w:p>
        </w:tc>
        <w:tc>
          <w:tcPr>
            <w:tcW w:w="4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(1,774)</w:t>
            </w:r>
          </w:p>
        </w:tc>
        <w:tc>
          <w:tcPr>
            <w:tcW w:w="240" w:type="dxa"/>
            <w:vAlign w:val="bottom"/>
            <w:shd w:val="clear" w:color="auto" w:fill="DDDDDD"/>
          </w:tcPr>
          <w:p>
            <w:pPr>
              <w:spacing w:after="0"/>
              <w:rPr>
                <w:sz w:val="18"/>
                <w:szCs w:val="18"/>
                <w:color w:val="auto"/>
              </w:rPr>
            </w:pPr>
          </w:p>
        </w:tc>
        <w:tc>
          <w:tcPr>
            <w:tcW w:w="70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129%</w:t>
            </w:r>
          </w:p>
        </w:tc>
      </w:tr>
    </w:tbl>
    <w:p>
      <w:pPr>
        <w:spacing w:after="0" w:line="215"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For 2019, we recognized income tax expense of $1.4 million, compared to $3.1 million for 2020. The tax expenses for the years ended December 31, 2019 and December 31, 2020 were primarily due to foreign taxes.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Quarterly results of operations</w:t>
      </w:r>
    </w:p>
    <w:p>
      <w:pPr>
        <w:spacing w:after="0" w:line="238"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following tables summarize our selected unaudited quarterly consolidated statements of operations data, the percentage of revenues that each line item represents, and the key business metrics for each of the ten quarters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the period ended June 30, 2021.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Consolidated Statements of Operations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2"/>
                <w:szCs w:val="12"/>
                <w:color w:val="auto"/>
              </w:rPr>
            </w:pPr>
          </w:p>
        </w:tc>
        <w:tc>
          <w:tcPr>
            <w:tcW w:w="11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72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11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auto"/>
              </w:rPr>
              <w:t>of operations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DDDDDD"/>
          </w:tcPr>
          <w:p>
            <w:pPr>
              <w:spacing w:after="0"/>
              <w:rPr>
                <w:sz w:val="20"/>
                <w:szCs w:val="20"/>
                <w:color w:val="auto"/>
              </w:rPr>
            </w:pPr>
            <w:r>
              <w:rPr>
                <w:rFonts w:ascii="Arial" w:cs="Arial" w:eastAsia="Arial" w:hAnsi="Arial"/>
                <w:sz w:val="14"/>
                <w:szCs w:val="14"/>
                <w:color w:val="auto"/>
              </w:rPr>
              <w:t>Revenues</w:t>
            </w:r>
          </w:p>
        </w:tc>
        <w:tc>
          <w:tcPr>
            <w:tcW w:w="18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72,763</w:t>
            </w:r>
          </w:p>
        </w:tc>
        <w:tc>
          <w:tcPr>
            <w:tcW w:w="6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$ 64,283</w:t>
            </w:r>
          </w:p>
        </w:tc>
        <w:tc>
          <w:tcPr>
            <w:tcW w:w="26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64,737</w:t>
            </w:r>
          </w:p>
        </w:tc>
        <w:tc>
          <w:tcPr>
            <w:tcW w:w="2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74,544</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91,830</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$109,538</w:t>
            </w:r>
          </w:p>
        </w:tc>
        <w:tc>
          <w:tcPr>
            <w:tcW w:w="26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118,436</w:t>
            </w:r>
          </w:p>
        </w:tc>
        <w:tc>
          <w:tcPr>
            <w:tcW w:w="2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110,095</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124,550</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$126,093</w:t>
            </w:r>
          </w:p>
        </w:tc>
        <w:tc>
          <w:tcPr>
            <w:tcW w:w="0" w:type="dxa"/>
            <w:vAlign w:val="bottom"/>
          </w:tcPr>
          <w:p>
            <w:pPr>
              <w:spacing w:after="0"/>
              <w:rPr>
                <w:sz w:val="1"/>
                <w:szCs w:val="1"/>
                <w:color w:val="auto"/>
              </w:rPr>
            </w:pPr>
          </w:p>
        </w:tc>
      </w:tr>
      <w:tr>
        <w:trPr>
          <w:trHeight w:val="189"/>
        </w:trPr>
        <w:tc>
          <w:tcPr>
            <w:tcW w:w="1720" w:type="dxa"/>
            <w:vAlign w:val="bottom"/>
          </w:tcPr>
          <w:p>
            <w:pPr>
              <w:spacing w:after="0" w:line="189" w:lineRule="exact"/>
              <w:rPr>
                <w:sz w:val="20"/>
                <w:szCs w:val="20"/>
                <w:color w:val="auto"/>
              </w:rPr>
            </w:pPr>
            <w:r>
              <w:rPr>
                <w:rFonts w:ascii="Arial" w:cs="Arial" w:eastAsia="Arial" w:hAnsi="Arial"/>
                <w:sz w:val="13"/>
                <w:szCs w:val="13"/>
                <w:color w:val="auto"/>
              </w:rPr>
              <w:t>Cost of revenues</w:t>
            </w:r>
            <w:r>
              <w:rPr>
                <w:rFonts w:ascii="Arial" w:cs="Arial" w:eastAsia="Arial" w:hAnsi="Arial"/>
                <w:sz w:val="21"/>
                <w:szCs w:val="21"/>
                <w:color w:val="auto"/>
                <w:vertAlign w:val="superscript"/>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34,597</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31,253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34,599</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43,061</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45,319</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59,351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48,926</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55,657</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57,923</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55,993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shd w:val="clear" w:color="auto" w:fill="DDDDDD"/>
          </w:tcPr>
          <w:p>
            <w:pPr>
              <w:spacing w:after="0"/>
              <w:rPr>
                <w:sz w:val="20"/>
                <w:szCs w:val="20"/>
                <w:color w:val="auto"/>
              </w:rPr>
            </w:pPr>
            <w:r>
              <w:rPr>
                <w:rFonts w:ascii="Arial" w:cs="Arial" w:eastAsia="Arial" w:hAnsi="Arial"/>
                <w:sz w:val="14"/>
                <w:szCs w:val="14"/>
                <w:color w:val="auto"/>
              </w:rPr>
              <w:t>Gross profit</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38,166</w:t>
            </w:r>
          </w:p>
        </w:tc>
        <w:tc>
          <w:tcPr>
            <w:tcW w:w="6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33,030</w:t>
            </w: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30,138</w:t>
            </w:r>
          </w:p>
        </w:tc>
        <w:tc>
          <w:tcPr>
            <w:tcW w:w="200" w:type="dxa"/>
            <w:vAlign w:val="bottom"/>
            <w:shd w:val="clear" w:color="auto" w:fill="DDDDDD"/>
          </w:tcPr>
          <w:p>
            <w:pPr>
              <w:spacing w:after="0"/>
              <w:rPr>
                <w:sz w:val="17"/>
                <w:szCs w:val="17"/>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31,483</w:t>
            </w:r>
          </w:p>
        </w:tc>
        <w:tc>
          <w:tcPr>
            <w:tcW w:w="120" w:type="dxa"/>
            <w:vAlign w:val="bottom"/>
            <w:shd w:val="clear" w:color="auto" w:fill="DDDDDD"/>
          </w:tcPr>
          <w:p>
            <w:pPr>
              <w:spacing w:after="0"/>
              <w:rPr>
                <w:sz w:val="17"/>
                <w:szCs w:val="17"/>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46,511</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50,187</w:t>
            </w: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69,510</w:t>
            </w:r>
          </w:p>
        </w:tc>
        <w:tc>
          <w:tcPr>
            <w:tcW w:w="200" w:type="dxa"/>
            <w:vAlign w:val="bottom"/>
            <w:shd w:val="clear" w:color="auto" w:fill="DDDDDD"/>
          </w:tcPr>
          <w:p>
            <w:pPr>
              <w:spacing w:after="0"/>
              <w:rPr>
                <w:sz w:val="17"/>
                <w:szCs w:val="17"/>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54,438</w:t>
            </w:r>
          </w:p>
        </w:tc>
        <w:tc>
          <w:tcPr>
            <w:tcW w:w="120" w:type="dxa"/>
            <w:vAlign w:val="bottom"/>
            <w:shd w:val="clear" w:color="auto" w:fill="DDDDDD"/>
          </w:tcPr>
          <w:p>
            <w:pPr>
              <w:spacing w:after="0"/>
              <w:rPr>
                <w:sz w:val="17"/>
                <w:szCs w:val="17"/>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66,627</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70,100</w:t>
            </w:r>
          </w:p>
        </w:tc>
        <w:tc>
          <w:tcPr>
            <w:tcW w:w="0" w:type="dxa"/>
            <w:vAlign w:val="bottom"/>
          </w:tcPr>
          <w:p>
            <w:pPr>
              <w:spacing w:after="0"/>
              <w:rPr>
                <w:sz w:val="1"/>
                <w:szCs w:val="1"/>
                <w:color w:val="auto"/>
              </w:rPr>
            </w:pPr>
          </w:p>
        </w:tc>
      </w:tr>
      <w:tr>
        <w:trPr>
          <w:trHeight w:val="190"/>
        </w:trPr>
        <w:tc>
          <w:tcPr>
            <w:tcW w:w="1720" w:type="dxa"/>
            <w:vAlign w:val="bottom"/>
          </w:tcPr>
          <w:p>
            <w:pPr>
              <w:ind w:left="180"/>
              <w:spacing w:after="0"/>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DDDDDD"/>
          </w:tcPr>
          <w:p>
            <w:pPr>
              <w:ind w:left="180"/>
              <w:spacing w:after="0" w:line="22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4"/>
                <w:szCs w:val="24"/>
                <w:color w:val="auto"/>
                <w:vertAlign w:val="superscript"/>
              </w:rPr>
              <w:t>(1)</w:t>
            </w: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29,815</w:t>
            </w:r>
          </w:p>
        </w:tc>
        <w:tc>
          <w:tcPr>
            <w:tcW w:w="6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26,891</w:t>
            </w: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27,581</w:t>
            </w:r>
          </w:p>
        </w:tc>
        <w:tc>
          <w:tcPr>
            <w:tcW w:w="200" w:type="dxa"/>
            <w:vAlign w:val="bottom"/>
            <w:shd w:val="clear" w:color="auto" w:fill="DDDDDD"/>
          </w:tcPr>
          <w:p>
            <w:pPr>
              <w:spacing w:after="0"/>
              <w:rPr>
                <w:sz w:val="19"/>
                <w:szCs w:val="19"/>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42,149</w:t>
            </w:r>
          </w:p>
        </w:tc>
        <w:tc>
          <w:tcPr>
            <w:tcW w:w="120" w:type="dxa"/>
            <w:vAlign w:val="bottom"/>
            <w:shd w:val="clear" w:color="auto" w:fill="DDDDDD"/>
          </w:tcPr>
          <w:p>
            <w:pPr>
              <w:spacing w:after="0"/>
              <w:rPr>
                <w:sz w:val="19"/>
                <w:szCs w:val="19"/>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46,107</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50,069</w:t>
            </w: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46,045</w:t>
            </w:r>
          </w:p>
        </w:tc>
        <w:tc>
          <w:tcPr>
            <w:tcW w:w="200" w:type="dxa"/>
            <w:vAlign w:val="bottom"/>
            <w:shd w:val="clear" w:color="auto" w:fill="DDDDDD"/>
          </w:tcPr>
          <w:p>
            <w:pPr>
              <w:spacing w:after="0"/>
              <w:rPr>
                <w:sz w:val="19"/>
                <w:szCs w:val="19"/>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50,379</w:t>
            </w:r>
          </w:p>
        </w:tc>
        <w:tc>
          <w:tcPr>
            <w:tcW w:w="120" w:type="dxa"/>
            <w:vAlign w:val="bottom"/>
            <w:shd w:val="clear" w:color="auto" w:fill="DDDDDD"/>
          </w:tcPr>
          <w:p>
            <w:pPr>
              <w:spacing w:after="0"/>
              <w:rPr>
                <w:sz w:val="19"/>
                <w:szCs w:val="19"/>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53,239</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50,902</w:t>
            </w:r>
          </w:p>
        </w:tc>
        <w:tc>
          <w:tcPr>
            <w:tcW w:w="0" w:type="dxa"/>
            <w:vAlign w:val="bottom"/>
          </w:tcPr>
          <w:p>
            <w:pPr>
              <w:spacing w:after="0"/>
              <w:rPr>
                <w:sz w:val="1"/>
                <w:szCs w:val="1"/>
                <w:color w:val="auto"/>
              </w:rPr>
            </w:pPr>
          </w:p>
        </w:tc>
      </w:tr>
      <w:tr>
        <w:trPr>
          <w:trHeight w:val="159"/>
        </w:trPr>
        <w:tc>
          <w:tcPr>
            <w:tcW w:w="1720" w:type="dxa"/>
            <w:vAlign w:val="bottom"/>
          </w:tcPr>
          <w:p>
            <w:pPr>
              <w:ind w:left="180"/>
              <w:spacing w:after="0" w:line="159" w:lineRule="exact"/>
              <w:rPr>
                <w:sz w:val="20"/>
                <w:szCs w:val="20"/>
                <w:color w:val="auto"/>
              </w:rPr>
            </w:pPr>
            <w:r>
              <w:rPr>
                <w:rFonts w:ascii="Arial" w:cs="Arial" w:eastAsia="Arial" w:hAnsi="Arial"/>
                <w:sz w:val="14"/>
                <w:szCs w:val="14"/>
                <w:color w:val="auto"/>
              </w:rPr>
              <w:t>Research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80"/>
              <w:spacing w:after="0" w:line="191" w:lineRule="exact"/>
              <w:rPr>
                <w:sz w:val="20"/>
                <w:szCs w:val="20"/>
                <w:color w:val="auto"/>
              </w:rPr>
            </w:pPr>
            <w:r>
              <w:rPr>
                <w:rFonts w:ascii="Arial" w:cs="Arial" w:eastAsia="Arial" w:hAnsi="Arial"/>
                <w:sz w:val="13"/>
                <w:szCs w:val="13"/>
                <w:color w:val="auto"/>
              </w:rPr>
              <w:t>development</w:t>
            </w:r>
            <w:r>
              <w:rPr>
                <w:rFonts w:ascii="Arial" w:cs="Arial" w:eastAsia="Arial" w:hAnsi="Arial"/>
                <w:sz w:val="22"/>
                <w:szCs w:val="22"/>
                <w:color w:val="auto"/>
                <w:vertAlign w:val="superscript"/>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8,149</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8,745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8,932</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8,553</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12,568</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11,727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11,945</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14,403</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15,413</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86"/>
        </w:trPr>
        <w:tc>
          <w:tcPr>
            <w:tcW w:w="17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General and</w:t>
            </w:r>
          </w:p>
        </w:tc>
        <w:tc>
          <w:tcPr>
            <w:tcW w:w="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shd w:val="clear" w:color="auto" w:fill="DDDDDD"/>
          </w:tcPr>
          <w:p>
            <w:pPr>
              <w:ind w:left="180"/>
              <w:spacing w:after="0" w:line="191" w:lineRule="exact"/>
              <w:rPr>
                <w:sz w:val="20"/>
                <w:szCs w:val="20"/>
                <w:color w:val="auto"/>
              </w:rPr>
            </w:pPr>
            <w:r>
              <w:rPr>
                <w:rFonts w:ascii="Arial" w:cs="Arial" w:eastAsia="Arial" w:hAnsi="Arial"/>
                <w:sz w:val="13"/>
                <w:szCs w:val="13"/>
                <w:color w:val="auto"/>
              </w:rPr>
              <w:t>administrative</w:t>
            </w:r>
            <w:r>
              <w:rPr>
                <w:rFonts w:ascii="Arial" w:cs="Arial" w:eastAsia="Arial" w:hAnsi="Arial"/>
                <w:sz w:val="22"/>
                <w:szCs w:val="22"/>
                <w:color w:val="auto"/>
                <w:vertAlign w:val="superscript"/>
              </w:rPr>
              <w:t>(1)</w:t>
            </w:r>
          </w:p>
        </w:tc>
        <w:tc>
          <w:tcPr>
            <w:tcW w:w="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10,114</w:t>
            </w:r>
          </w:p>
        </w:tc>
        <w:tc>
          <w:tcPr>
            <w:tcW w:w="6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8,444</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8,916</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12,559</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9,425</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16,610</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8,996</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15,752</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14,413</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15,389</w:t>
            </w:r>
          </w:p>
        </w:tc>
        <w:tc>
          <w:tcPr>
            <w:tcW w:w="0" w:type="dxa"/>
            <w:vAlign w:val="bottom"/>
          </w:tcPr>
          <w:p>
            <w:pPr>
              <w:spacing w:after="0"/>
              <w:rPr>
                <w:sz w:val="1"/>
                <w:szCs w:val="1"/>
                <w:color w:val="auto"/>
              </w:rPr>
            </w:pPr>
          </w:p>
        </w:tc>
      </w:tr>
      <w:tr>
        <w:trPr>
          <w:trHeight w:val="174"/>
        </w:trPr>
        <w:tc>
          <w:tcPr>
            <w:tcW w:w="1720" w:type="dxa"/>
            <w:vAlign w:val="bottom"/>
          </w:tcPr>
          <w:p>
            <w:pPr>
              <w:ind w:left="360"/>
              <w:spacing w:after="0"/>
              <w:rPr>
                <w:sz w:val="20"/>
                <w:szCs w:val="20"/>
                <w:color w:val="auto"/>
              </w:rPr>
            </w:pPr>
            <w:r>
              <w:rPr>
                <w:rFonts w:ascii="Arial" w:cs="Arial" w:eastAsia="Arial" w:hAnsi="Arial"/>
                <w:sz w:val="14"/>
                <w:szCs w:val="14"/>
                <w:color w:val="auto"/>
              </w:rPr>
              <w:t>Total operating</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20" w:type="dxa"/>
            <w:vAlign w:val="bottom"/>
          </w:tcPr>
          <w:p>
            <w:pPr>
              <w:ind w:left="360"/>
              <w:spacing w:after="0"/>
              <w:rPr>
                <w:sz w:val="20"/>
                <w:szCs w:val="20"/>
                <w:color w:val="auto"/>
              </w:rPr>
            </w:pPr>
            <w:r>
              <w:rPr>
                <w:rFonts w:ascii="Arial" w:cs="Arial" w:eastAsia="Arial" w:hAnsi="Arial"/>
                <w:sz w:val="14"/>
                <w:szCs w:val="14"/>
                <w:color w:val="auto"/>
              </w:rPr>
              <w:t>expenses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48,078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44,080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45,429</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63,261</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68,100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78,406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66,986</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80,534</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83,065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81,074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20" w:type="dxa"/>
            <w:vAlign w:val="bottom"/>
            <w:shd w:val="clear" w:color="auto" w:fill="DDDDDD"/>
          </w:tcPr>
          <w:p>
            <w:pPr>
              <w:spacing w:after="0"/>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(9,912)</w:t>
            </w:r>
          </w:p>
        </w:tc>
        <w:tc>
          <w:tcPr>
            <w:tcW w:w="68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(11,050)</w:t>
            </w:r>
          </w:p>
        </w:tc>
        <w:tc>
          <w:tcPr>
            <w:tcW w:w="6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(15,291)</w:t>
            </w:r>
          </w:p>
        </w:tc>
        <w:tc>
          <w:tcPr>
            <w:tcW w:w="200" w:type="dxa"/>
            <w:vAlign w:val="bottom"/>
            <w:shd w:val="clear" w:color="auto" w:fill="DDDDDD"/>
          </w:tcPr>
          <w:p>
            <w:pPr>
              <w:spacing w:after="0"/>
              <w:rPr>
                <w:sz w:val="18"/>
                <w:szCs w:val="18"/>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(31,778)</w:t>
            </w:r>
          </w:p>
        </w:tc>
        <w:tc>
          <w:tcPr>
            <w:tcW w:w="120" w:type="dxa"/>
            <w:vAlign w:val="bottom"/>
            <w:shd w:val="clear" w:color="auto" w:fill="DDDDDD"/>
          </w:tcPr>
          <w:p>
            <w:pPr>
              <w:spacing w:after="0"/>
              <w:rPr>
                <w:sz w:val="18"/>
                <w:szCs w:val="18"/>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(21,589)</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(28,219)</w:t>
            </w:r>
          </w:p>
        </w:tc>
        <w:tc>
          <w:tcPr>
            <w:tcW w:w="6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2,524</w:t>
            </w:r>
          </w:p>
        </w:tc>
        <w:tc>
          <w:tcPr>
            <w:tcW w:w="200" w:type="dxa"/>
            <w:vAlign w:val="bottom"/>
            <w:shd w:val="clear" w:color="auto" w:fill="DDDDDD"/>
          </w:tcPr>
          <w:p>
            <w:pPr>
              <w:spacing w:after="0"/>
              <w:rPr>
                <w:sz w:val="18"/>
                <w:szCs w:val="18"/>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(26,096)</w:t>
            </w:r>
          </w:p>
        </w:tc>
        <w:tc>
          <w:tcPr>
            <w:tcW w:w="120" w:type="dxa"/>
            <w:vAlign w:val="bottom"/>
            <w:shd w:val="clear" w:color="auto" w:fill="DDDDDD"/>
          </w:tcPr>
          <w:p>
            <w:pPr>
              <w:spacing w:after="0"/>
              <w:rPr>
                <w:sz w:val="18"/>
                <w:szCs w:val="18"/>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(16,438)</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(10,974)</w:t>
            </w:r>
          </w:p>
        </w:tc>
        <w:tc>
          <w:tcPr>
            <w:tcW w:w="0" w:type="dxa"/>
            <w:vAlign w:val="bottom"/>
          </w:tcPr>
          <w:p>
            <w:pPr>
              <w:spacing w:after="0"/>
              <w:rPr>
                <w:sz w:val="1"/>
                <w:szCs w:val="1"/>
                <w:color w:val="auto"/>
              </w:rPr>
            </w:pPr>
          </w:p>
        </w:tc>
      </w:tr>
      <w:tr>
        <w:trPr>
          <w:trHeight w:val="174"/>
        </w:trPr>
        <w:tc>
          <w:tcPr>
            <w:tcW w:w="172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20" w:type="dxa"/>
            <w:vAlign w:val="bottom"/>
          </w:tcPr>
          <w:p>
            <w:pPr>
              <w:ind w:left="180"/>
              <w:spacing w:after="0"/>
              <w:rPr>
                <w:sz w:val="20"/>
                <w:szCs w:val="20"/>
                <w:color w:val="auto"/>
              </w:rPr>
            </w:pPr>
            <w:r>
              <w:rPr>
                <w:rFonts w:ascii="Arial" w:cs="Arial" w:eastAsia="Arial" w:hAnsi="Arial"/>
                <w:sz w:val="14"/>
                <w:szCs w:val="14"/>
                <w:color w:val="auto"/>
              </w:rPr>
              <w:t>(expense), net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Interest income</w:t>
            </w:r>
          </w:p>
        </w:tc>
        <w:tc>
          <w:tcPr>
            <w:tcW w:w="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5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20" w:type="dxa"/>
            <w:vAlign w:val="bottom"/>
            <w:shd w:val="clear" w:color="auto" w:fill="DDDDDD"/>
          </w:tcPr>
          <w:p>
            <w:pPr>
              <w:ind w:left="180"/>
              <w:spacing w:after="0"/>
              <w:rPr>
                <w:sz w:val="20"/>
                <w:szCs w:val="20"/>
                <w:color w:val="auto"/>
              </w:rPr>
            </w:pPr>
            <w:r>
              <w:rPr>
                <w:rFonts w:ascii="Arial" w:cs="Arial" w:eastAsia="Arial" w:hAnsi="Arial"/>
                <w:sz w:val="14"/>
                <w:szCs w:val="14"/>
                <w:color w:val="auto"/>
              </w:rPr>
              <w:t>(expense), net</w:t>
            </w:r>
          </w:p>
        </w:tc>
        <w:tc>
          <w:tcPr>
            <w:tcW w:w="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173</w:t>
            </w:r>
          </w:p>
        </w:tc>
        <w:tc>
          <w:tcPr>
            <w:tcW w:w="6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36</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(30)</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(880)</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(134)</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(64)</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(218)</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7"/>
        </w:trPr>
        <w:tc>
          <w:tcPr>
            <w:tcW w:w="172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80"/>
              <w:spacing w:after="0" w:line="157" w:lineRule="exact"/>
              <w:rPr>
                <w:sz w:val="20"/>
                <w:szCs w:val="20"/>
                <w:color w:val="auto"/>
              </w:rPr>
            </w:pPr>
            <w:r>
              <w:rPr>
                <w:rFonts w:ascii="Arial" w:cs="Arial" w:eastAsia="Arial" w:hAnsi="Arial"/>
                <w:sz w:val="14"/>
                <w:szCs w:val="14"/>
                <w:color w:val="auto"/>
              </w:rPr>
              <w:t>(expense), net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(130)</w:t>
            </w:r>
          </w:p>
        </w:tc>
        <w:tc>
          <w:tcPr>
            <w:tcW w:w="6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3"/>
                <w:szCs w:val="13"/>
                <w:color w:val="auto"/>
              </w:rPr>
            </w:pP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(234)</w:t>
            </w: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372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(428)</w:t>
            </w:r>
          </w:p>
        </w:tc>
        <w:tc>
          <w:tcPr>
            <w:tcW w:w="7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720" w:type="dxa"/>
            <w:vAlign w:val="bottom"/>
            <w:shd w:val="clear" w:color="auto" w:fill="DDDDDD"/>
          </w:tcPr>
          <w:p>
            <w:pPr>
              <w:ind w:left="360"/>
              <w:spacing w:after="0"/>
              <w:rPr>
                <w:sz w:val="20"/>
                <w:szCs w:val="20"/>
                <w:color w:val="auto"/>
              </w:rPr>
            </w:pPr>
            <w:r>
              <w:rPr>
                <w:rFonts w:ascii="Arial" w:cs="Arial" w:eastAsia="Arial" w:hAnsi="Arial"/>
                <w:sz w:val="14"/>
                <w:szCs w:val="14"/>
                <w:color w:val="auto"/>
              </w:rPr>
              <w:t>Total other income</w:t>
            </w:r>
          </w:p>
        </w:tc>
        <w:tc>
          <w:tcPr>
            <w:tcW w:w="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6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20" w:type="dxa"/>
            <w:vAlign w:val="bottom"/>
            <w:shd w:val="clear" w:color="auto" w:fill="DDDDDD"/>
          </w:tcPr>
          <w:p>
            <w:pPr>
              <w:ind w:left="360"/>
              <w:spacing w:after="0"/>
              <w:rPr>
                <w:sz w:val="20"/>
                <w:szCs w:val="20"/>
                <w:color w:val="auto"/>
              </w:rPr>
            </w:pPr>
            <w:r>
              <w:rPr>
                <w:rFonts w:ascii="Arial" w:cs="Arial" w:eastAsia="Arial" w:hAnsi="Arial"/>
                <w:sz w:val="14"/>
                <w:szCs w:val="14"/>
                <w:color w:val="auto"/>
              </w:rPr>
              <w:t>(expense), net</w:t>
            </w:r>
          </w:p>
        </w:tc>
        <w:tc>
          <w:tcPr>
            <w:tcW w:w="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43</w:t>
            </w:r>
          </w:p>
        </w:tc>
        <w:tc>
          <w:tcPr>
            <w:tcW w:w="68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(53)</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(1,114)</w:t>
            </w:r>
          </w:p>
        </w:tc>
        <w:tc>
          <w:tcPr>
            <w:tcW w:w="7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238</w:t>
            </w:r>
          </w:p>
        </w:tc>
        <w:tc>
          <w:tcPr>
            <w:tcW w:w="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(164)</w:t>
            </w:r>
          </w:p>
        </w:tc>
        <w:tc>
          <w:tcPr>
            <w:tcW w:w="20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DDDDDD"/>
          </w:tcPr>
          <w:p>
            <w:pPr>
              <w:spacing w:after="0"/>
              <w:rPr>
                <w:sz w:val="16"/>
                <w:szCs w:val="16"/>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(646)</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20"/>
                <w:szCs w:val="20"/>
                <w:color w:val="auto"/>
              </w:rPr>
            </w:pPr>
            <w:r>
              <w:rPr>
                <w:rFonts w:ascii="Arial" w:cs="Arial" w:eastAsia="Arial" w:hAnsi="Arial"/>
                <w:sz w:val="14"/>
                <w:szCs w:val="14"/>
                <w:color w:val="auto"/>
              </w:rPr>
              <w:t>Net income (loss) before</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20" w:type="dxa"/>
            <w:vAlign w:val="bottom"/>
          </w:tcPr>
          <w:p>
            <w:pPr>
              <w:spacing w:after="0"/>
              <w:rPr>
                <w:sz w:val="20"/>
                <w:szCs w:val="20"/>
                <w:color w:val="auto"/>
              </w:rPr>
            </w:pPr>
            <w:r>
              <w:rPr>
                <w:rFonts w:ascii="Arial" w:cs="Arial" w:eastAsia="Arial" w:hAnsi="Arial"/>
                <w:sz w:val="14"/>
                <w:szCs w:val="14"/>
                <w:color w:val="auto"/>
              </w:rPr>
              <w:t>taxes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(9,869)</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(11,103)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(15,586)</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(31,770)</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(22,703)</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(27,981)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2,360</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(26,147)</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(17,084)</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(11,237)</w:t>
            </w:r>
          </w:p>
        </w:tc>
        <w:tc>
          <w:tcPr>
            <w:tcW w:w="0" w:type="dxa"/>
            <w:vAlign w:val="bottom"/>
          </w:tcPr>
          <w:p>
            <w:pPr>
              <w:spacing w:after="0"/>
              <w:rPr>
                <w:sz w:val="1"/>
                <w:szCs w:val="1"/>
                <w:color w:val="auto"/>
              </w:rPr>
            </w:pPr>
          </w:p>
        </w:tc>
      </w:tr>
      <w:tr>
        <w:trPr>
          <w:trHeight w:val="216"/>
        </w:trPr>
        <w:tc>
          <w:tcPr>
            <w:tcW w:w="1720" w:type="dxa"/>
            <w:vAlign w:val="bottom"/>
            <w:shd w:val="clear" w:color="auto" w:fill="DDDDDD"/>
          </w:tcPr>
          <w:p>
            <w:pPr>
              <w:spacing w:after="0"/>
              <w:rPr>
                <w:sz w:val="20"/>
                <w:szCs w:val="20"/>
                <w:color w:val="auto"/>
              </w:rPr>
            </w:pPr>
            <w:r>
              <w:rPr>
                <w:rFonts w:ascii="Arial" w:cs="Arial" w:eastAsia="Arial" w:hAnsi="Arial"/>
                <w:sz w:val="14"/>
                <w:szCs w:val="14"/>
                <w:color w:val="auto"/>
              </w:rPr>
              <w:t>Income tax provision</w:t>
            </w:r>
          </w:p>
        </w:tc>
        <w:tc>
          <w:tcPr>
            <w:tcW w:w="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(13)</w:t>
            </w:r>
          </w:p>
        </w:tc>
        <w:tc>
          <w:tcPr>
            <w:tcW w:w="68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(155)</w:t>
            </w:r>
          </w:p>
        </w:tc>
        <w:tc>
          <w:tcPr>
            <w:tcW w:w="6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(781)</w:t>
            </w:r>
          </w:p>
        </w:tc>
        <w:tc>
          <w:tcPr>
            <w:tcW w:w="200" w:type="dxa"/>
            <w:vAlign w:val="bottom"/>
            <w:shd w:val="clear" w:color="auto" w:fill="DDDDDD"/>
          </w:tcPr>
          <w:p>
            <w:pPr>
              <w:spacing w:after="0"/>
              <w:rPr>
                <w:sz w:val="18"/>
                <w:szCs w:val="18"/>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DDDDDD"/>
          </w:tcPr>
          <w:p>
            <w:pPr>
              <w:spacing w:after="0"/>
              <w:rPr>
                <w:sz w:val="18"/>
                <w:szCs w:val="18"/>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(647)</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(1,119)</w:t>
            </w:r>
          </w:p>
        </w:tc>
        <w:tc>
          <w:tcPr>
            <w:tcW w:w="6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4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(495)</w:t>
            </w:r>
          </w:p>
        </w:tc>
        <w:tc>
          <w:tcPr>
            <w:tcW w:w="200" w:type="dxa"/>
            <w:vAlign w:val="bottom"/>
            <w:shd w:val="clear" w:color="auto" w:fill="DDDDDD"/>
          </w:tcPr>
          <w:p>
            <w:pPr>
              <w:spacing w:after="0"/>
              <w:rPr>
                <w:sz w:val="18"/>
                <w:szCs w:val="18"/>
                <w:color w:val="auto"/>
              </w:rPr>
            </w:pP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(888)</w:t>
            </w:r>
          </w:p>
        </w:tc>
        <w:tc>
          <w:tcPr>
            <w:tcW w:w="120" w:type="dxa"/>
            <w:vAlign w:val="bottom"/>
            <w:shd w:val="clear" w:color="auto" w:fill="DDDDDD"/>
          </w:tcPr>
          <w:p>
            <w:pPr>
              <w:spacing w:after="0"/>
              <w:rPr>
                <w:sz w:val="18"/>
                <w:szCs w:val="18"/>
                <w:color w:val="auto"/>
              </w:rPr>
            </w:pPr>
          </w:p>
        </w:tc>
        <w:tc>
          <w:tcPr>
            <w:tcW w:w="70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(905)</w:t>
            </w:r>
          </w:p>
        </w:tc>
        <w:tc>
          <w:tcPr>
            <w:tcW w:w="72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Net income (loss)</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(9,882)</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(11,258)</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(16,367)</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(32,196)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(23,350)</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 (29,100)</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1,865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(27,035)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(17,989)</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 (11,391)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stock-based compensation as follows: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6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1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6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1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2"/>
                <w:szCs w:val="12"/>
                <w:color w:val="auto"/>
              </w:rPr>
            </w:pPr>
          </w:p>
        </w:tc>
      </w:tr>
      <w:tr>
        <w:trPr>
          <w:trHeight w:val="175"/>
        </w:trPr>
        <w:tc>
          <w:tcPr>
            <w:tcW w:w="176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DDDDDD"/>
            </w:tcBorders>
          </w:tcPr>
          <w:p>
            <w:pPr>
              <w:spacing w:after="0"/>
              <w:rPr>
                <w:sz w:val="15"/>
                <w:szCs w:val="15"/>
                <w:color w:val="auto"/>
              </w:rPr>
            </w:pPr>
          </w:p>
        </w:tc>
      </w:tr>
      <w:tr>
        <w:trPr>
          <w:trHeight w:val="196"/>
        </w:trPr>
        <w:tc>
          <w:tcPr>
            <w:tcW w:w="1760" w:type="dxa"/>
            <w:vAlign w:val="bottom"/>
            <w:shd w:val="clear" w:color="auto" w:fill="DDDDDD"/>
          </w:tcPr>
          <w:p>
            <w:pPr>
              <w:spacing w:after="0"/>
              <w:rPr>
                <w:sz w:val="20"/>
                <w:szCs w:val="20"/>
                <w:color w:val="auto"/>
              </w:rPr>
            </w:pPr>
            <w:r>
              <w:rPr>
                <w:rFonts w:ascii="Arial" w:cs="Arial" w:eastAsia="Arial" w:hAnsi="Arial"/>
                <w:sz w:val="14"/>
                <w:szCs w:val="14"/>
                <w:color w:val="auto"/>
              </w:rPr>
              <w:t>Cost of revenues</w:t>
            </w:r>
          </w:p>
        </w:tc>
        <w:tc>
          <w:tcPr>
            <w:tcW w:w="260" w:type="dxa"/>
            <w:vAlign w:val="bottom"/>
            <w:gridSpan w:val="2"/>
            <w:shd w:val="clear" w:color="auto" w:fill="DDDDDD"/>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147</w:t>
            </w:r>
          </w:p>
        </w:tc>
        <w:tc>
          <w:tcPr>
            <w:tcW w:w="30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98</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93</w:t>
            </w:r>
          </w:p>
        </w:tc>
        <w:tc>
          <w:tcPr>
            <w:tcW w:w="28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62</w:t>
            </w:r>
          </w:p>
        </w:tc>
        <w:tc>
          <w:tcPr>
            <w:tcW w:w="2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237</w:t>
            </w:r>
          </w:p>
        </w:tc>
      </w:tr>
      <w:tr>
        <w:trPr>
          <w:trHeight w:val="183"/>
        </w:trPr>
        <w:tc>
          <w:tcPr>
            <w:tcW w:w="1760" w:type="dxa"/>
            <w:vAlign w:val="bottom"/>
          </w:tcPr>
          <w:p>
            <w:pPr>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973</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4,626</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796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509</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1,587</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1,712</w:t>
            </w:r>
          </w:p>
        </w:tc>
      </w:tr>
      <w:tr>
        <w:trPr>
          <w:trHeight w:val="222"/>
        </w:trPr>
        <w:tc>
          <w:tcPr>
            <w:tcW w:w="1760" w:type="dxa"/>
            <w:vAlign w:val="bottom"/>
            <w:shd w:val="clear" w:color="auto" w:fill="DDDDDD"/>
          </w:tcPr>
          <w:p>
            <w:pPr>
              <w:spacing w:after="0"/>
              <w:rPr>
                <w:sz w:val="20"/>
                <w:szCs w:val="20"/>
                <w:color w:val="auto"/>
              </w:rPr>
            </w:pPr>
            <w:r>
              <w:rPr>
                <w:rFonts w:ascii="Arial" w:cs="Arial" w:eastAsia="Arial" w:hAnsi="Arial"/>
                <w:sz w:val="14"/>
                <w:szCs w:val="14"/>
                <w:color w:val="auto"/>
                <w:highlight w:val="lightGray"/>
              </w:rPr>
              <w:t>Research and development</w:t>
            </w: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745</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1,180</w:t>
            </w:r>
          </w:p>
        </w:tc>
        <w:tc>
          <w:tcPr>
            <w:tcW w:w="180" w:type="dxa"/>
            <w:vAlign w:val="bottom"/>
            <w:shd w:val="clear" w:color="auto" w:fill="DDDDDD"/>
          </w:tcPr>
          <w:p>
            <w:pPr>
              <w:spacing w:after="0"/>
              <w:rPr>
                <w:sz w:val="19"/>
                <w:szCs w:val="19"/>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DDDDDD"/>
          </w:tcPr>
          <w:p>
            <w:pPr>
              <w:spacing w:after="0"/>
              <w:rPr>
                <w:sz w:val="19"/>
                <w:szCs w:val="19"/>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1,181</w:t>
            </w:r>
          </w:p>
        </w:tc>
        <w:tc>
          <w:tcPr>
            <w:tcW w:w="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733</w:t>
            </w:r>
          </w:p>
        </w:tc>
        <w:tc>
          <w:tcPr>
            <w:tcW w:w="200" w:type="dxa"/>
            <w:vAlign w:val="bottom"/>
            <w:shd w:val="clear" w:color="auto" w:fill="DDDDDD"/>
          </w:tcPr>
          <w:p>
            <w:pPr>
              <w:spacing w:after="0"/>
              <w:rPr>
                <w:sz w:val="19"/>
                <w:szCs w:val="19"/>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1,315</w:t>
            </w:r>
          </w:p>
        </w:tc>
        <w:tc>
          <w:tcPr>
            <w:tcW w:w="120" w:type="dxa"/>
            <w:vAlign w:val="bottom"/>
            <w:shd w:val="clear" w:color="auto" w:fill="DDDDDD"/>
          </w:tcPr>
          <w:p>
            <w:pPr>
              <w:spacing w:after="0"/>
              <w:rPr>
                <w:sz w:val="19"/>
                <w:szCs w:val="19"/>
                <w:color w:val="auto"/>
              </w:rPr>
            </w:pPr>
          </w:p>
        </w:tc>
        <w:tc>
          <w:tcPr>
            <w:tcW w:w="7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2,090</w:t>
            </w:r>
          </w:p>
        </w:tc>
        <w:tc>
          <w:tcPr>
            <w:tcW w:w="100" w:type="dxa"/>
            <w:vAlign w:val="bottom"/>
            <w:shd w:val="clear" w:color="auto" w:fill="DDDDDD"/>
          </w:tcPr>
          <w:p>
            <w:pPr>
              <w:spacing w:after="0"/>
              <w:rPr>
                <w:sz w:val="19"/>
                <w:szCs w:val="19"/>
                <w:color w:val="auto"/>
              </w:rPr>
            </w:pPr>
          </w:p>
        </w:tc>
        <w:tc>
          <w:tcPr>
            <w:tcW w:w="5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1,052</w:t>
            </w:r>
          </w:p>
        </w:tc>
      </w:tr>
      <w:tr>
        <w:trPr>
          <w:trHeight w:val="183"/>
        </w:trPr>
        <w:tc>
          <w:tcPr>
            <w:tcW w:w="17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1,117</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9,702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1,545</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5,099</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6,198</w:t>
            </w: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2,971</w:t>
            </w: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760" w:type="dxa"/>
            <w:vAlign w:val="bottom"/>
            <w:shd w:val="clear" w:color="auto" w:fill="DDDDDD"/>
          </w:tcPr>
          <w:p>
            <w:pPr>
              <w:spacing w:after="0"/>
              <w:rPr>
                <w:sz w:val="20"/>
                <w:szCs w:val="20"/>
                <w:color w:val="auto"/>
              </w:rPr>
            </w:pPr>
            <w:r>
              <w:rPr>
                <w:rFonts w:ascii="Arial" w:cs="Arial" w:eastAsia="Arial" w:hAnsi="Arial"/>
                <w:sz w:val="14"/>
                <w:szCs w:val="14"/>
                <w:color w:val="auto"/>
              </w:rPr>
              <w:t>Total stock-based</w:t>
            </w: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78"/>
        </w:trPr>
        <w:tc>
          <w:tcPr>
            <w:tcW w:w="1760" w:type="dxa"/>
            <w:vAlign w:val="bottom"/>
            <w:shd w:val="clear" w:color="auto" w:fill="DDDDDD"/>
          </w:tcPr>
          <w:p>
            <w:pPr>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2,446</w:t>
            </w:r>
          </w:p>
        </w:tc>
        <w:tc>
          <w:tcPr>
            <w:tcW w:w="30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3,342</w:t>
            </w:r>
          </w:p>
        </w:tc>
        <w:tc>
          <w:tcPr>
            <w:tcW w:w="18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2,007</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8,831</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11,772</w:t>
            </w:r>
          </w:p>
        </w:tc>
        <w:tc>
          <w:tcPr>
            <w:tcW w:w="28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2,849</w:t>
            </w:r>
          </w:p>
        </w:tc>
        <w:tc>
          <w:tcPr>
            <w:tcW w:w="2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8,166</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10,512</w:t>
            </w:r>
          </w:p>
        </w:tc>
        <w:tc>
          <w:tcPr>
            <w:tcW w:w="1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5,972</w:t>
            </w: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9"/>
              </w:rPr>
              <w:t>March 31,</w:t>
            </w:r>
          </w:p>
        </w:tc>
        <w:tc>
          <w:tcPr>
            <w:tcW w:w="8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June 30,</w:t>
            </w:r>
          </w:p>
        </w:tc>
        <w:tc>
          <w:tcPr>
            <w:tcW w:w="124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March 31,</w:t>
            </w: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9"/>
              </w:rPr>
              <w:t>June 30,</w:t>
            </w:r>
          </w:p>
        </w:tc>
        <w:tc>
          <w:tcPr>
            <w:tcW w:w="12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b w:val="1"/>
                <w:bCs w:val="1"/>
                <w:color w:val="auto"/>
              </w:rPr>
              <w:t>statements of</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Arial" w:cs="Arial" w:eastAsia="Arial" w:hAnsi="Arial"/>
                <w:sz w:val="14"/>
                <w:szCs w:val="14"/>
                <w:b w:val="1"/>
                <w:bCs w:val="1"/>
                <w:color w:val="auto"/>
              </w:rPr>
              <w:t>operations</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Revenues</w:t>
            </w:r>
          </w:p>
        </w:tc>
        <w:tc>
          <w:tcPr>
            <w:tcW w:w="960" w:type="dxa"/>
            <w:vAlign w:val="bottom"/>
            <w:gridSpan w:val="3"/>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84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124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12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8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100%</w:t>
            </w:r>
          </w:p>
        </w:tc>
        <w:tc>
          <w:tcPr>
            <w:tcW w:w="120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100%</w:t>
            </w:r>
          </w:p>
        </w:tc>
        <w:tc>
          <w:tcPr>
            <w:tcW w:w="12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Cost of</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line="157" w:lineRule="exact"/>
              <w:rPr>
                <w:sz w:val="20"/>
                <w:szCs w:val="20"/>
                <w:color w:val="auto"/>
              </w:rPr>
            </w:pPr>
            <w:r>
              <w:rPr>
                <w:rFonts w:ascii="Arial" w:cs="Arial" w:eastAsia="Arial" w:hAnsi="Arial"/>
                <w:sz w:val="14"/>
                <w:szCs w:val="14"/>
                <w:color w:val="auto"/>
              </w:rPr>
              <w:t>revenues</w:t>
            </w:r>
          </w:p>
        </w:tc>
        <w:tc>
          <w:tcPr>
            <w:tcW w:w="96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48</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49</w:t>
            </w: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53</w:t>
            </w: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58</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49</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54</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41</w:t>
            </w: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51</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47</w:t>
            </w:r>
          </w:p>
        </w:tc>
        <w:tc>
          <w:tcPr>
            <w:tcW w:w="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Gross profit</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52</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51</w:t>
            </w:r>
          </w:p>
        </w:tc>
        <w:tc>
          <w:tcPr>
            <w:tcW w:w="124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47</w:t>
            </w:r>
          </w:p>
        </w:tc>
        <w:tc>
          <w:tcPr>
            <w:tcW w:w="120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42</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51</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46</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59</w:t>
            </w:r>
          </w:p>
        </w:tc>
        <w:tc>
          <w:tcPr>
            <w:tcW w:w="120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49</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53</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4"/>
        </w:trPr>
        <w:tc>
          <w:tcPr>
            <w:tcW w:w="108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expenses: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Sales and</w:t>
            </w:r>
          </w:p>
        </w:tc>
        <w:tc>
          <w:tcPr>
            <w:tcW w:w="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marketing</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41</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42</w:t>
            </w:r>
          </w:p>
        </w:tc>
        <w:tc>
          <w:tcPr>
            <w:tcW w:w="124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43</w:t>
            </w:r>
          </w:p>
        </w:tc>
        <w:tc>
          <w:tcPr>
            <w:tcW w:w="120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57</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50</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46</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39</w:t>
            </w:r>
          </w:p>
        </w:tc>
        <w:tc>
          <w:tcPr>
            <w:tcW w:w="120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46</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43</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7"/>
        </w:trPr>
        <w:tc>
          <w:tcPr>
            <w:tcW w:w="1080" w:type="dxa"/>
            <w:vAlign w:val="bottom"/>
          </w:tcPr>
          <w:p>
            <w:pPr>
              <w:ind w:left="180"/>
              <w:spacing w:after="0"/>
              <w:rPr>
                <w:sz w:val="20"/>
                <w:szCs w:val="20"/>
                <w:color w:val="auto"/>
              </w:rPr>
            </w:pPr>
            <w:r>
              <w:rPr>
                <w:rFonts w:ascii="Arial" w:cs="Arial" w:eastAsia="Arial" w:hAnsi="Arial"/>
                <w:sz w:val="14"/>
                <w:szCs w:val="14"/>
                <w:color w:val="auto"/>
              </w:rPr>
              <w:t>Research and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development</w:t>
            </w:r>
          </w:p>
        </w:tc>
        <w:tc>
          <w:tcPr>
            <w:tcW w:w="96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11</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14</w:t>
            </w: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14</w:t>
            </w: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14</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11</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10</w:t>
            </w: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General and</w:t>
            </w:r>
          </w:p>
        </w:tc>
        <w:tc>
          <w:tcPr>
            <w:tcW w:w="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administrative</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14</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13</w:t>
            </w:r>
          </w:p>
        </w:tc>
        <w:tc>
          <w:tcPr>
            <w:tcW w:w="124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14</w:t>
            </w:r>
          </w:p>
        </w:tc>
        <w:tc>
          <w:tcPr>
            <w:tcW w:w="120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17</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10</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15</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8</w:t>
            </w:r>
          </w:p>
        </w:tc>
        <w:tc>
          <w:tcPr>
            <w:tcW w:w="120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14</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12</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4"/>
        </w:trPr>
        <w:tc>
          <w:tcPr>
            <w:tcW w:w="1080" w:type="dxa"/>
            <w:vAlign w:val="bottom"/>
          </w:tcPr>
          <w:p>
            <w:pPr>
              <w:ind w:left="36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360"/>
              <w:spacing w:after="0"/>
              <w:rPr>
                <w:sz w:val="20"/>
                <w:szCs w:val="20"/>
                <w:color w:val="auto"/>
              </w:rPr>
            </w:pPr>
            <w:r>
              <w:rPr>
                <w:rFonts w:ascii="Arial" w:cs="Arial" w:eastAsia="Arial" w:hAnsi="Arial"/>
                <w:sz w:val="14"/>
                <w:szCs w:val="14"/>
                <w:color w:val="auto"/>
              </w:rPr>
              <w:t>operating</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360"/>
              <w:spacing w:after="0" w:line="157" w:lineRule="exact"/>
              <w:rPr>
                <w:sz w:val="20"/>
                <w:szCs w:val="20"/>
                <w:color w:val="auto"/>
              </w:rPr>
            </w:pPr>
            <w:r>
              <w:rPr>
                <w:rFonts w:ascii="Arial" w:cs="Arial" w:eastAsia="Arial" w:hAnsi="Arial"/>
                <w:sz w:val="14"/>
                <w:szCs w:val="14"/>
                <w:color w:val="auto"/>
              </w:rPr>
              <w:t>expenses</w:t>
            </w:r>
          </w:p>
        </w:tc>
        <w:tc>
          <w:tcPr>
            <w:tcW w:w="96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66</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69</w:t>
            </w: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71</w:t>
            </w: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85</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74</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72</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57</w:t>
            </w: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73</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67</w:t>
            </w:r>
          </w:p>
        </w:tc>
        <w:tc>
          <w:tcPr>
            <w:tcW w:w="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Operating</w:t>
            </w:r>
          </w:p>
        </w:tc>
        <w:tc>
          <w:tcPr>
            <w:tcW w:w="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income (loss)</w:t>
            </w:r>
          </w:p>
        </w:tc>
        <w:tc>
          <w:tcPr>
            <w:tcW w:w="960" w:type="dxa"/>
            <w:vAlign w:val="bottom"/>
            <w:gridSpan w:val="3"/>
            <w:shd w:val="clear" w:color="auto" w:fill="DDDDDD"/>
          </w:tcPr>
          <w:p>
            <w:pPr>
              <w:jc w:val="right"/>
              <w:ind w:right="200"/>
              <w:spacing w:after="0"/>
              <w:rPr>
                <w:sz w:val="20"/>
                <w:szCs w:val="20"/>
                <w:color w:val="auto"/>
              </w:rPr>
            </w:pPr>
            <w:r>
              <w:rPr>
                <w:rFonts w:ascii="Arial" w:cs="Arial" w:eastAsia="Arial" w:hAnsi="Arial"/>
                <w:sz w:val="14"/>
                <w:szCs w:val="14"/>
                <w:color w:val="auto"/>
              </w:rPr>
              <w:t>(14)</w:t>
            </w:r>
          </w:p>
        </w:tc>
        <w:tc>
          <w:tcPr>
            <w:tcW w:w="8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(18)</w:t>
            </w: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(24)</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(43)</w:t>
            </w:r>
          </w:p>
        </w:tc>
        <w:tc>
          <w:tcPr>
            <w:tcW w:w="9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(23)</w:t>
            </w:r>
          </w:p>
        </w:tc>
        <w:tc>
          <w:tcPr>
            <w:tcW w:w="8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(26)</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(24)</w:t>
            </w:r>
          </w:p>
        </w:tc>
        <w:tc>
          <w:tcPr>
            <w:tcW w:w="9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(14)</w:t>
            </w:r>
          </w:p>
        </w:tc>
        <w:tc>
          <w:tcPr>
            <w:tcW w:w="7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Other income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line="157" w:lineRule="exact"/>
              <w:rPr>
                <w:sz w:val="20"/>
                <w:szCs w:val="20"/>
                <w:color w:val="auto"/>
              </w:rPr>
            </w:pPr>
            <w:r>
              <w:rPr>
                <w:rFonts w:ascii="Arial" w:cs="Arial" w:eastAsia="Arial" w:hAnsi="Arial"/>
                <w:sz w:val="14"/>
                <w:szCs w:val="14"/>
                <w:color w:val="auto"/>
              </w:rPr>
              <w:t>(expense), net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Interest</w:t>
            </w:r>
          </w:p>
        </w:tc>
        <w:tc>
          <w:tcPr>
            <w:tcW w:w="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income</w:t>
            </w:r>
          </w:p>
        </w:tc>
        <w:tc>
          <w:tcPr>
            <w:tcW w:w="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(expense),</w:t>
            </w:r>
          </w:p>
        </w:tc>
        <w:tc>
          <w:tcPr>
            <w:tcW w:w="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net</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124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108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80"/>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180"/>
              <w:spacing w:after="0" w:line="157" w:lineRule="exact"/>
              <w:rPr>
                <w:sz w:val="20"/>
                <w:szCs w:val="20"/>
                <w:color w:val="auto"/>
              </w:rPr>
            </w:pPr>
            <w:r>
              <w:rPr>
                <w:rFonts w:ascii="Arial" w:cs="Arial" w:eastAsia="Arial" w:hAnsi="Arial"/>
                <w:sz w:val="14"/>
                <w:szCs w:val="14"/>
                <w:color w:val="auto"/>
              </w:rPr>
              <w:t>net</w:t>
            </w:r>
          </w:p>
        </w:tc>
        <w:tc>
          <w:tcPr>
            <w:tcW w:w="96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0</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0</w:t>
            </w: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shd w:val="clear" w:color="auto" w:fill="DDDDDD"/>
          </w:tcPr>
          <w:p>
            <w:pPr>
              <w:ind w:left="360"/>
              <w:spacing w:after="0"/>
              <w:rPr>
                <w:sz w:val="20"/>
                <w:szCs w:val="20"/>
                <w:color w:val="auto"/>
              </w:rPr>
            </w:pPr>
            <w:r>
              <w:rPr>
                <w:rFonts w:ascii="Arial" w:cs="Arial" w:eastAsia="Arial" w:hAnsi="Arial"/>
                <w:sz w:val="14"/>
                <w:szCs w:val="14"/>
                <w:color w:val="auto"/>
                <w:w w:val="98"/>
              </w:rPr>
              <w:t>Total, other</w:t>
            </w:r>
          </w:p>
        </w:tc>
        <w:tc>
          <w:tcPr>
            <w:tcW w:w="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income</w:t>
            </w:r>
          </w:p>
        </w:tc>
        <w:tc>
          <w:tcPr>
            <w:tcW w:w="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(expense),</w:t>
            </w:r>
          </w:p>
        </w:tc>
        <w:tc>
          <w:tcPr>
            <w:tcW w:w="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ind w:left="360"/>
              <w:spacing w:after="0"/>
              <w:rPr>
                <w:sz w:val="20"/>
                <w:szCs w:val="20"/>
                <w:color w:val="auto"/>
              </w:rPr>
            </w:pPr>
            <w:r>
              <w:rPr>
                <w:rFonts w:ascii="Arial" w:cs="Arial" w:eastAsia="Arial" w:hAnsi="Arial"/>
                <w:sz w:val="14"/>
                <w:szCs w:val="14"/>
                <w:color w:val="auto"/>
              </w:rPr>
              <w:t>net</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124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(loss) before</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line="157" w:lineRule="exact"/>
              <w:rPr>
                <w:sz w:val="20"/>
                <w:szCs w:val="20"/>
                <w:color w:val="auto"/>
              </w:rPr>
            </w:pPr>
            <w:r>
              <w:rPr>
                <w:rFonts w:ascii="Arial" w:cs="Arial" w:eastAsia="Arial" w:hAnsi="Arial"/>
                <w:sz w:val="14"/>
                <w:szCs w:val="14"/>
                <w:color w:val="auto"/>
              </w:rPr>
              <w:t>taxes</w:t>
            </w:r>
          </w:p>
        </w:tc>
        <w:tc>
          <w:tcPr>
            <w:tcW w:w="96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(14)</w:t>
            </w:r>
          </w:p>
        </w:tc>
        <w:tc>
          <w:tcPr>
            <w:tcW w:w="8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w:t>
            </w: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(43)</w:t>
            </w:r>
          </w:p>
        </w:tc>
        <w:tc>
          <w:tcPr>
            <w:tcW w:w="9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w:t>
            </w:r>
          </w:p>
        </w:tc>
        <w:tc>
          <w:tcPr>
            <w:tcW w:w="8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(26)</w:t>
            </w: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(24)</w:t>
            </w: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Income tax</w:t>
            </w:r>
          </w:p>
        </w:tc>
        <w:tc>
          <w:tcPr>
            <w:tcW w:w="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DDDDDD"/>
          </w:tcPr>
          <w:p>
            <w:pPr>
              <w:spacing w:after="0"/>
              <w:rPr>
                <w:sz w:val="20"/>
                <w:szCs w:val="20"/>
                <w:color w:val="auto"/>
              </w:rPr>
            </w:pPr>
            <w:r>
              <w:rPr>
                <w:rFonts w:ascii="Arial" w:cs="Arial" w:eastAsia="Arial" w:hAnsi="Arial"/>
                <w:sz w:val="14"/>
                <w:szCs w:val="14"/>
                <w:color w:val="auto"/>
              </w:rPr>
              <w:t>provision</w:t>
            </w:r>
          </w:p>
        </w:tc>
        <w:tc>
          <w:tcPr>
            <w:tcW w:w="96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0</w:t>
            </w: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9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8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w:t>
            </w:r>
          </w:p>
        </w:tc>
        <w:tc>
          <w:tcPr>
            <w:tcW w:w="12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0</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w:t>
            </w:r>
          </w:p>
        </w:tc>
        <w:tc>
          <w:tcPr>
            <w:tcW w:w="9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w:t>
            </w:r>
          </w:p>
        </w:tc>
        <w:tc>
          <w:tcPr>
            <w:tcW w:w="78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4"/>
        </w:trPr>
        <w:tc>
          <w:tcPr>
            <w:tcW w:w="1080" w:type="dxa"/>
            <w:vAlign w:val="bottom"/>
          </w:tcPr>
          <w:p>
            <w:pPr>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line="157" w:lineRule="exact"/>
              <w:rPr>
                <w:sz w:val="20"/>
                <w:szCs w:val="20"/>
                <w:color w:val="auto"/>
              </w:rPr>
            </w:pPr>
            <w:r>
              <w:rPr>
                <w:rFonts w:ascii="Arial" w:cs="Arial" w:eastAsia="Arial" w:hAnsi="Arial"/>
                <w:sz w:val="14"/>
                <w:szCs w:val="14"/>
                <w:color w:val="auto"/>
              </w:rPr>
              <w:t>(loss)</w:t>
            </w:r>
          </w:p>
        </w:tc>
        <w:tc>
          <w:tcPr>
            <w:tcW w:w="40" w:type="dxa"/>
            <w:vAlign w:val="bottom"/>
          </w:tcPr>
          <w:p>
            <w:pPr>
              <w:spacing w:after="0"/>
              <w:rPr>
                <w:sz w:val="13"/>
                <w:szCs w:val="13"/>
                <w:color w:val="auto"/>
              </w:rPr>
            </w:pP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w:t>
            </w:r>
          </w:p>
        </w:tc>
        <w:tc>
          <w:tcPr>
            <w:tcW w:w="12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(44)%</w:t>
            </w: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w:t>
            </w:r>
          </w:p>
        </w:tc>
        <w:tc>
          <w:tcPr>
            <w:tcW w:w="12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w:t>
            </w:r>
          </w:p>
        </w:tc>
        <w:tc>
          <w:tcPr>
            <w:tcW w:w="12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w:t>
            </w: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(15)%</w:t>
            </w: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bl>
    <w:p>
      <w:pPr>
        <w:sectPr>
          <w:pgSz w:w="11900" w:h="16838" w:orient="portrait"/>
          <w:cols w:equalWidth="0" w:num="1">
            <w:col w:w="11340"/>
          </w:cols>
          <w:pgMar w:left="32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changes in revenues</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overall increase in revenue over the quarters presented was primarily driven by the significant expansion of our learner base, which resulted in a substantial number of additional buyers, as well as significant growth in our UB customers. These trends were accelerated in part due to the effects of the COVID-19 pandemic during the second quarter of 2020. Pricing was not a significant driver of the increase in revenue.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changes in cost of revenues, gross profit and gross margin</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Cost of revenue has generally increased sequentially in each of the quarters presented primarily due to increased content costs, credit card and mobile processing fees, and customer support costs. Gross margin and gross profit have generally increased overall during the last ten quarters presented. The increase is attributable to a shift in the mix of revenue toward our enterprise business and a shift in the mix of content costs toward the enterprise segment, which as a percentage of revenue are lower relative to content costs for the consumer segment.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changes in operating expenses</w:t>
      </w:r>
    </w:p>
    <w:p>
      <w:pPr>
        <w:spacing w:after="0" w:line="126"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Operating expenses have generally increased sequentially in each of the quarters presented primarily due to increased headcount and other related costs to support our growth. However, after the outbreak of COVID-19, we have seen slower growth in certain operating expenses due to reduced business travel, deferred hiring for some positions, and the virtualization or cancellation of customer and employee events. We intend to continue to make significant investments in research and development as we add features and enhance our platform. We also intend to invest in our sales and marketing organization to drive future revenue growth. Included in general and administrative operating expenses are sales tax, other indirect tax, and instructor withholding tax reserve charges that decreased beginning in 2020 due to the implementation of enhanced collection, withholding, and reporting processes related to the matters underlying the tax reserve charges. We expect that these expenses will decline in future periods. For more information, see “—Critical accounting policies and estimates—Instructor withholding tax obligations.”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business metrics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31,</w:t>
            </w:r>
          </w:p>
        </w:tc>
        <w:tc>
          <w:tcPr>
            <w:tcW w:w="8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June 30,</w:t>
            </w: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March 31,</w:t>
            </w:r>
          </w:p>
        </w:tc>
        <w:tc>
          <w:tcPr>
            <w:tcW w:w="84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700" w:type="dxa"/>
            <w:vAlign w:val="bottom"/>
          </w:tcPr>
          <w:p>
            <w:pPr>
              <w:jc w:val="right"/>
              <w:ind w:right="27"/>
              <w:spacing w:after="0" w:line="14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r>
      <w:tr>
        <w:trPr>
          <w:trHeight w:val="175"/>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155"/>
        </w:trPr>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180" w:type="dxa"/>
            <w:vAlign w:val="bottom"/>
            <w:gridSpan w:val="8"/>
          </w:tcPr>
          <w:p>
            <w:pPr>
              <w:jc w:val="right"/>
              <w:spacing w:after="0" w:line="155" w:lineRule="exact"/>
              <w:rPr>
                <w:sz w:val="20"/>
                <w:szCs w:val="20"/>
                <w:color w:val="auto"/>
              </w:rPr>
            </w:pPr>
            <w:r>
              <w:rPr>
                <w:rFonts w:ascii="Arial" w:cs="Arial" w:eastAsia="Arial" w:hAnsi="Arial"/>
                <w:sz w:val="14"/>
                <w:szCs w:val="14"/>
                <w:b w:val="1"/>
                <w:bCs w:val="1"/>
                <w:color w:val="auto"/>
              </w:rPr>
              <w:t>(Monthly Average Buyers and dollar amounts in thousands)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Monthly</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62"/>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Average</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8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Buyers</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929</w:t>
            </w: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828</w:t>
            </w: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965</w:t>
            </w: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1,125</w:t>
            </w: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1,269</w:t>
            </w: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1,773</w:t>
            </w: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1,340</w:t>
            </w: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1,373</w:t>
            </w: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1,411</w:t>
            </w: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jc w:val="right"/>
              <w:ind w:right="87"/>
              <w:spacing w:after="0"/>
              <w:rPr>
                <w:sz w:val="20"/>
                <w:szCs w:val="20"/>
                <w:color w:val="auto"/>
              </w:rPr>
            </w:pPr>
            <w:r>
              <w:rPr>
                <w:rFonts w:ascii="Arial" w:cs="Arial" w:eastAsia="Arial" w:hAnsi="Arial"/>
                <w:sz w:val="14"/>
                <w:szCs w:val="14"/>
                <w:color w:val="auto"/>
              </w:rPr>
              <w:t>1,316</w:t>
            </w:r>
          </w:p>
        </w:tc>
        <w:tc>
          <w:tcPr>
            <w:tcW w:w="40" w:type="dxa"/>
            <w:vAlign w:val="bottom"/>
            <w:shd w:val="clear" w:color="auto" w:fill="DDDDDD"/>
          </w:tcPr>
          <w:p>
            <w:pPr>
              <w:spacing w:after="0"/>
              <w:rPr>
                <w:sz w:val="16"/>
                <w:szCs w:val="16"/>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4"/>
                <w:szCs w:val="14"/>
                <w:color w:val="auto"/>
              </w:rPr>
              <w:t>UB customers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3,479</w:t>
            </w:r>
          </w:p>
        </w:tc>
        <w:tc>
          <w:tcPr>
            <w:tcW w:w="1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3,996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4,542</w:t>
            </w:r>
          </w:p>
        </w:tc>
        <w:tc>
          <w:tcPr>
            <w:tcW w:w="2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5,174</w:t>
            </w:r>
          </w:p>
        </w:tc>
        <w:tc>
          <w:tcPr>
            <w:tcW w:w="1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6,009</w:t>
            </w:r>
          </w:p>
        </w:tc>
        <w:tc>
          <w:tcPr>
            <w:tcW w:w="1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6,396</w:t>
            </w:r>
          </w:p>
        </w:tc>
        <w:tc>
          <w:tcPr>
            <w:tcW w:w="2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6,752</w:t>
            </w:r>
          </w:p>
        </w:tc>
        <w:tc>
          <w:tcPr>
            <w:tcW w:w="2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7,300</w:t>
            </w:r>
          </w:p>
        </w:tc>
        <w:tc>
          <w:tcPr>
            <w:tcW w:w="1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7,783</w:t>
            </w:r>
          </w:p>
        </w:tc>
        <w:tc>
          <w:tcPr>
            <w:tcW w:w="14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8,669</w:t>
            </w:r>
          </w:p>
        </w:tc>
        <w:tc>
          <w:tcPr>
            <w:tcW w:w="40" w:type="dxa"/>
            <w:vAlign w:val="bottom"/>
          </w:tcPr>
          <w:p>
            <w:pPr>
              <w:spacing w:after="0"/>
              <w:rPr>
                <w:sz w:val="14"/>
                <w:szCs w:val="14"/>
                <w:color w:val="auto"/>
              </w:rPr>
            </w:pPr>
          </w:p>
        </w:tc>
      </w:tr>
      <w:tr>
        <w:trPr>
          <w:trHeight w:val="19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UB Net Dollar</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62"/>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Retention</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8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Rate</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140%</w:t>
            </w: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123%</w:t>
            </w: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119%</w:t>
            </w: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w:t>
            </w: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DDDDDD"/>
          </w:tcPr>
          <w:p>
            <w:pPr>
              <w:spacing w:after="0"/>
              <w:rPr>
                <w:sz w:val="16"/>
                <w:szCs w:val="16"/>
                <w:color w:val="auto"/>
              </w:rPr>
            </w:pPr>
          </w:p>
        </w:tc>
        <w:tc>
          <w:tcPr>
            <w:tcW w:w="7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121%</w:t>
            </w:r>
          </w:p>
        </w:tc>
      </w:tr>
      <w:tr>
        <w:trPr>
          <w:trHeight w:val="167"/>
        </w:trPr>
        <w:tc>
          <w:tcPr>
            <w:tcW w:w="920" w:type="dxa"/>
            <w:vAlign w:val="bottom"/>
          </w:tcPr>
          <w:p>
            <w:pPr>
              <w:spacing w:after="0"/>
              <w:rPr>
                <w:sz w:val="20"/>
                <w:szCs w:val="20"/>
                <w:color w:val="auto"/>
              </w:rPr>
            </w:pPr>
            <w:r>
              <w:rPr>
                <w:rFonts w:ascii="Arial" w:cs="Arial" w:eastAsia="Arial" w:hAnsi="Arial"/>
                <w:sz w:val="14"/>
                <w:szCs w:val="14"/>
                <w:color w:val="auto"/>
              </w:rPr>
              <w:t>UB Annual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4"/>
                <w:szCs w:val="14"/>
                <w:color w:val="auto"/>
              </w:rPr>
              <w:t>Recurring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920" w:type="dxa"/>
            <w:vAlign w:val="bottom"/>
          </w:tcPr>
          <w:p>
            <w:pPr>
              <w:spacing w:after="0" w:line="157" w:lineRule="exact"/>
              <w:rPr>
                <w:sz w:val="20"/>
                <w:szCs w:val="20"/>
                <w:color w:val="auto"/>
              </w:rPr>
            </w:pPr>
            <w:r>
              <w:rPr>
                <w:rFonts w:ascii="Arial" w:cs="Arial" w:eastAsia="Arial" w:hAnsi="Arial"/>
                <w:sz w:val="14"/>
                <w:szCs w:val="14"/>
                <w:color w:val="auto"/>
              </w:rPr>
              <w:t>Revenue</w:t>
            </w:r>
          </w:p>
        </w:tc>
        <w:tc>
          <w:tcPr>
            <w:tcW w:w="2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41,886</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49,117</w:t>
            </w:r>
          </w:p>
        </w:tc>
        <w:tc>
          <w:tcPr>
            <w:tcW w:w="2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58,839</w:t>
            </w:r>
          </w:p>
        </w:tc>
        <w:tc>
          <w:tcPr>
            <w:tcW w:w="22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75,079</w:t>
            </w:r>
          </w:p>
        </w:tc>
        <w:tc>
          <w:tcPr>
            <w:tcW w:w="1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85,307</w:t>
            </w: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98"/>
              </w:rPr>
              <w:t>100,814</w:t>
            </w:r>
          </w:p>
        </w:tc>
        <w:tc>
          <w:tcPr>
            <w:tcW w:w="2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115,142</w:t>
            </w: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137,621</w:t>
            </w:r>
          </w:p>
        </w:tc>
        <w:tc>
          <w:tcPr>
            <w:tcW w:w="1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155,241</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7"/>
              <w:spacing w:after="0" w:line="157" w:lineRule="exact"/>
              <w:rPr>
                <w:sz w:val="20"/>
                <w:szCs w:val="20"/>
                <w:color w:val="auto"/>
              </w:rPr>
            </w:pPr>
            <w:r>
              <w:rPr>
                <w:rFonts w:ascii="Arial" w:cs="Arial" w:eastAsia="Arial" w:hAnsi="Arial"/>
                <w:sz w:val="14"/>
                <w:szCs w:val="14"/>
                <w:color w:val="auto"/>
              </w:rPr>
              <w:t>181,870</w:t>
            </w:r>
          </w:p>
        </w:tc>
        <w:tc>
          <w:tcPr>
            <w:tcW w:w="40" w:type="dxa"/>
            <w:vAlign w:val="bottom"/>
          </w:tcPr>
          <w:p>
            <w:pPr>
              <w:spacing w:after="0"/>
              <w:rPr>
                <w:sz w:val="13"/>
                <w:szCs w:val="13"/>
                <w:color w:val="auto"/>
              </w:rPr>
            </w:pPr>
          </w:p>
        </w:tc>
      </w:tr>
      <w:tr>
        <w:trPr>
          <w:trHeight w:val="19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Consumer</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62"/>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Segment</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8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63,124</w:t>
            </w:r>
          </w:p>
        </w:tc>
        <w:tc>
          <w:tcPr>
            <w:tcW w:w="16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52,796</w:t>
            </w:r>
          </w:p>
        </w:tc>
        <w:tc>
          <w:tcPr>
            <w:tcW w:w="26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51,434</w:t>
            </w:r>
          </w:p>
        </w:tc>
        <w:tc>
          <w:tcPr>
            <w:tcW w:w="220" w:type="dxa"/>
            <w:vAlign w:val="bottom"/>
            <w:shd w:val="clear" w:color="auto" w:fill="DDDDDD"/>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58,146</w:t>
            </w:r>
          </w:p>
        </w:tc>
        <w:tc>
          <w:tcPr>
            <w:tcW w:w="1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71,201</w:t>
            </w:r>
          </w:p>
        </w:tc>
        <w:tc>
          <w:tcPr>
            <w:tcW w:w="140" w:type="dxa"/>
            <w:vAlign w:val="bottom"/>
            <w:shd w:val="clear" w:color="auto" w:fill="DDDDDD"/>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86,056</w:t>
            </w:r>
          </w:p>
        </w:tc>
        <w:tc>
          <w:tcPr>
            <w:tcW w:w="2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91,078</w:t>
            </w:r>
          </w:p>
        </w:tc>
        <w:tc>
          <w:tcPr>
            <w:tcW w:w="240" w:type="dxa"/>
            <w:vAlign w:val="bottom"/>
            <w:shd w:val="clear" w:color="auto" w:fill="DDDDDD"/>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78,119</w:t>
            </w:r>
          </w:p>
        </w:tc>
        <w:tc>
          <w:tcPr>
            <w:tcW w:w="1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87,872</w:t>
            </w:r>
          </w:p>
        </w:tc>
        <w:tc>
          <w:tcPr>
            <w:tcW w:w="1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DDDDD"/>
          </w:tcPr>
          <w:p>
            <w:pPr>
              <w:jc w:val="right"/>
              <w:ind w:right="87"/>
              <w:spacing w:after="0"/>
              <w:rPr>
                <w:sz w:val="20"/>
                <w:szCs w:val="20"/>
                <w:color w:val="auto"/>
              </w:rPr>
            </w:pPr>
            <w:r>
              <w:rPr>
                <w:rFonts w:ascii="Arial" w:cs="Arial" w:eastAsia="Arial" w:hAnsi="Arial"/>
                <w:sz w:val="14"/>
                <w:szCs w:val="14"/>
                <w:color w:val="auto"/>
              </w:rPr>
              <w:t>83,965</w:t>
            </w:r>
          </w:p>
        </w:tc>
        <w:tc>
          <w:tcPr>
            <w:tcW w:w="40" w:type="dxa"/>
            <w:vAlign w:val="bottom"/>
            <w:shd w:val="clear" w:color="auto" w:fill="DDDDDD"/>
          </w:tcPr>
          <w:p>
            <w:pPr>
              <w:spacing w:after="0"/>
              <w:rPr>
                <w:sz w:val="16"/>
                <w:szCs w:val="16"/>
                <w:color w:val="auto"/>
              </w:rPr>
            </w:pPr>
          </w:p>
        </w:tc>
      </w:tr>
      <w:tr>
        <w:trPr>
          <w:trHeight w:val="167"/>
        </w:trPr>
        <w:tc>
          <w:tcPr>
            <w:tcW w:w="920" w:type="dxa"/>
            <w:vAlign w:val="bottom"/>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4"/>
                <w:szCs w:val="14"/>
                <w:color w:val="auto"/>
              </w:rPr>
              <w:t>Segment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920" w:type="dxa"/>
            <w:vAlign w:val="bottom"/>
          </w:tcPr>
          <w:p>
            <w:pPr>
              <w:spacing w:after="0" w:line="157" w:lineRule="exact"/>
              <w:rPr>
                <w:sz w:val="20"/>
                <w:szCs w:val="20"/>
                <w:color w:val="auto"/>
              </w:rPr>
            </w:pPr>
            <w:r>
              <w:rPr>
                <w:rFonts w:ascii="Arial" w:cs="Arial" w:eastAsia="Arial" w:hAnsi="Arial"/>
                <w:sz w:val="14"/>
                <w:szCs w:val="14"/>
                <w:color w:val="auto"/>
              </w:rPr>
              <w:t>Gross Profit</w:t>
            </w:r>
          </w:p>
        </w:tc>
        <w:tc>
          <w:tcPr>
            <w:tcW w:w="2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33,734</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27,060</w:t>
            </w:r>
          </w:p>
        </w:tc>
        <w:tc>
          <w:tcPr>
            <w:tcW w:w="2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23,509</w:t>
            </w:r>
          </w:p>
        </w:tc>
        <w:tc>
          <w:tcPr>
            <w:tcW w:w="22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22,528</w:t>
            </w:r>
          </w:p>
        </w:tc>
        <w:tc>
          <w:tcPr>
            <w:tcW w:w="1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34,865</w:t>
            </w: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36,529</w:t>
            </w:r>
          </w:p>
        </w:tc>
        <w:tc>
          <w:tcPr>
            <w:tcW w:w="2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53,299</w:t>
            </w:r>
          </w:p>
        </w:tc>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35,957</w:t>
            </w:r>
          </w:p>
        </w:tc>
        <w:tc>
          <w:tcPr>
            <w:tcW w:w="18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45,422</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7"/>
              <w:spacing w:after="0" w:line="157" w:lineRule="exact"/>
              <w:rPr>
                <w:sz w:val="20"/>
                <w:szCs w:val="20"/>
                <w:color w:val="auto"/>
              </w:rPr>
            </w:pPr>
            <w:r>
              <w:rPr>
                <w:rFonts w:ascii="Arial" w:cs="Arial" w:eastAsia="Arial" w:hAnsi="Arial"/>
                <w:sz w:val="14"/>
                <w:szCs w:val="14"/>
                <w:color w:val="auto"/>
              </w:rPr>
              <w:t>45,052</w:t>
            </w:r>
          </w:p>
        </w:tc>
        <w:tc>
          <w:tcPr>
            <w:tcW w:w="40" w:type="dxa"/>
            <w:vAlign w:val="bottom"/>
          </w:tcPr>
          <w:p>
            <w:pPr>
              <w:spacing w:after="0"/>
              <w:rPr>
                <w:sz w:val="13"/>
                <w:szCs w:val="13"/>
                <w:color w:val="auto"/>
              </w:rPr>
            </w:pPr>
          </w:p>
        </w:tc>
      </w:tr>
      <w:tr>
        <w:trPr>
          <w:trHeight w:val="19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Enterprise</w:t>
            </w:r>
          </w:p>
        </w:tc>
        <w:tc>
          <w:tcPr>
            <w:tcW w:w="6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r>
      <w:tr>
        <w:trPr>
          <w:trHeight w:val="162"/>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Segment</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4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70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84"/>
        </w:trPr>
        <w:tc>
          <w:tcPr>
            <w:tcW w:w="92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20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9,639</w:t>
            </w:r>
          </w:p>
        </w:tc>
        <w:tc>
          <w:tcPr>
            <w:tcW w:w="16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11,487</w:t>
            </w:r>
          </w:p>
        </w:tc>
        <w:tc>
          <w:tcPr>
            <w:tcW w:w="26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13,302</w:t>
            </w:r>
          </w:p>
        </w:tc>
        <w:tc>
          <w:tcPr>
            <w:tcW w:w="220" w:type="dxa"/>
            <w:vAlign w:val="bottom"/>
            <w:shd w:val="clear" w:color="auto" w:fill="DDDDDD"/>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16,399</w:t>
            </w:r>
          </w:p>
        </w:tc>
        <w:tc>
          <w:tcPr>
            <w:tcW w:w="1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20,629</w:t>
            </w:r>
          </w:p>
        </w:tc>
        <w:tc>
          <w:tcPr>
            <w:tcW w:w="140" w:type="dxa"/>
            <w:vAlign w:val="bottom"/>
            <w:shd w:val="clear" w:color="auto" w:fill="DDDDDD"/>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23,482</w:t>
            </w:r>
          </w:p>
        </w:tc>
        <w:tc>
          <w:tcPr>
            <w:tcW w:w="2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27,359</w:t>
            </w:r>
          </w:p>
        </w:tc>
        <w:tc>
          <w:tcPr>
            <w:tcW w:w="240" w:type="dxa"/>
            <w:vAlign w:val="bottom"/>
            <w:shd w:val="clear" w:color="auto" w:fill="DDDDDD"/>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31,975</w:t>
            </w:r>
          </w:p>
        </w:tc>
        <w:tc>
          <w:tcPr>
            <w:tcW w:w="180" w:type="dxa"/>
            <w:vAlign w:val="bottom"/>
            <w:shd w:val="clear" w:color="auto" w:fill="DDDDDD"/>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36,677</w:t>
            </w:r>
          </w:p>
        </w:tc>
        <w:tc>
          <w:tcPr>
            <w:tcW w:w="1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DDDDD"/>
          </w:tcPr>
          <w:p>
            <w:pPr>
              <w:jc w:val="right"/>
              <w:ind w:right="87"/>
              <w:spacing w:after="0"/>
              <w:rPr>
                <w:sz w:val="20"/>
                <w:szCs w:val="20"/>
                <w:color w:val="auto"/>
              </w:rPr>
            </w:pPr>
            <w:r>
              <w:rPr>
                <w:rFonts w:ascii="Arial" w:cs="Arial" w:eastAsia="Arial" w:hAnsi="Arial"/>
                <w:sz w:val="14"/>
                <w:szCs w:val="14"/>
                <w:color w:val="auto"/>
              </w:rPr>
              <w:t>42,129</w:t>
            </w:r>
          </w:p>
        </w:tc>
        <w:tc>
          <w:tcPr>
            <w:tcW w:w="40" w:type="dxa"/>
            <w:vAlign w:val="bottom"/>
            <w:shd w:val="clear" w:color="auto" w:fill="DDDDDD"/>
          </w:tcPr>
          <w:p>
            <w:pPr>
              <w:spacing w:after="0"/>
              <w:rPr>
                <w:sz w:val="16"/>
                <w:szCs w:val="16"/>
                <w:color w:val="auto"/>
              </w:rPr>
            </w:pPr>
          </w:p>
        </w:tc>
      </w:tr>
      <w:tr>
        <w:trPr>
          <w:trHeight w:val="167"/>
        </w:trPr>
        <w:tc>
          <w:tcPr>
            <w:tcW w:w="920" w:type="dxa"/>
            <w:vAlign w:val="bottom"/>
          </w:tcPr>
          <w:p>
            <w:pPr>
              <w:spacing w:after="0"/>
              <w:rPr>
                <w:sz w:val="20"/>
                <w:szCs w:val="20"/>
                <w:color w:val="auto"/>
              </w:rPr>
            </w:pPr>
            <w:r>
              <w:rPr>
                <w:rFonts w:ascii="Arial" w:cs="Arial" w:eastAsia="Arial" w:hAnsi="Arial"/>
                <w:sz w:val="14"/>
                <w:szCs w:val="14"/>
                <w:color w:val="auto"/>
              </w:rPr>
              <w:t>Enterprise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4"/>
                <w:szCs w:val="14"/>
                <w:color w:val="auto"/>
              </w:rPr>
              <w:t>Segment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Gross Profit</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5,623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7,347</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8,202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10,749</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13,562</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15,508</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18,160</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20,696</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23,719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27,674</w:t>
            </w:r>
          </w:p>
        </w:tc>
        <w:tc>
          <w:tcPr>
            <w:tcW w:w="40" w:type="dxa"/>
            <w:vAlign w:val="bottom"/>
          </w:tcPr>
          <w:p>
            <w:pPr>
              <w:spacing w:after="0"/>
              <w:rPr>
                <w:sz w:val="14"/>
                <w:szCs w:val="14"/>
                <w:color w:val="auto"/>
              </w:rPr>
            </w:pPr>
          </w:p>
        </w:tc>
      </w:tr>
      <w:tr>
        <w:trPr>
          <w:trHeight w:val="330"/>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83</w:t>
            </w: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Non-GAAP financial metrics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Adjusted EBITDA is a key performance measure that we use to assess our operating performance and the operating leverage in our business. 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define Adjusted EBITDA as net loss attributable to common stockholders, adjusted to exclude:</w:t>
      </w:r>
    </w:p>
    <w:p>
      <w:pPr>
        <w:spacing w:after="0" w:line="117" w:lineRule="exact"/>
        <w:rPr>
          <w:sz w:val="20"/>
          <w:szCs w:val="20"/>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expense (income), net;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 for income taxes;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stock-based compensation expense;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expense (income), net.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define Adjusted EBITDA Margin as Adjusted EBITDA divided by revenue for the same period.</w:t>
      </w:r>
    </w:p>
    <w:p>
      <w:pPr>
        <w:spacing w:after="0" w:line="212"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Adjusted EBITDA and Adjusted EBITDA Margin are non-GAAP financial measures, should be considered as supplemental in nature and are not meant as a substitute for the related financial information prepared in accordance with GAAP. Our definition may differ from the definitions used by other companies and therefore comparability may be limited. Other companies may not disclose similar metrics. Adjusted EBITDA and Adjusted EBITDA Margin have certain limitations in that they exclude the impact of certain expenses that are reflected in our consolidated statements of operations that are necessary to run our business. The limitations include the following:</w:t>
      </w:r>
    </w:p>
    <w:p>
      <w:pPr>
        <w:spacing w:after="0" w:line="108" w:lineRule="exact"/>
        <w:rPr>
          <w:sz w:val="20"/>
          <w:szCs w:val="20"/>
          <w:color w:val="auto"/>
        </w:rPr>
      </w:pPr>
    </w:p>
    <w:p>
      <w:pPr>
        <w:ind w:left="760" w:right="220" w:hanging="320"/>
        <w:spacing w:after="0" w:line="238"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the components of other interest income (expense), net, which consists primarily of interest income earned on our cash, cash equivalents, and marketable securities, amortization of premiums and accretion of discounts related to our marketable securities, and interest expense recorded related to certain indirect tax reserves;</w:t>
      </w:r>
    </w:p>
    <w:p>
      <w:pPr>
        <w:spacing w:after="0" w:line="110" w:lineRule="exact"/>
        <w:rPr>
          <w:rFonts w:ascii="Arial" w:cs="Arial" w:eastAsia="Arial" w:hAnsi="Arial"/>
          <w:sz w:val="18"/>
          <w:szCs w:val="18"/>
          <w:color w:val="auto"/>
        </w:rPr>
      </w:pPr>
    </w:p>
    <w:p>
      <w:pPr>
        <w:ind w:left="760" w:right="140" w:hanging="320"/>
        <w:spacing w:after="0" w:line="246"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period to period changes in taxes, income tax expense or the cash necessary to pay income taxes;</w:t>
      </w:r>
    </w:p>
    <w:p>
      <w:pPr>
        <w:spacing w:after="0" w:line="102" w:lineRule="exact"/>
        <w:rPr>
          <w:rFonts w:ascii="Arial" w:cs="Arial" w:eastAsia="Arial" w:hAnsi="Arial"/>
          <w:sz w:val="18"/>
          <w:szCs w:val="18"/>
          <w:color w:val="auto"/>
        </w:rPr>
      </w:pPr>
    </w:p>
    <w:p>
      <w:pPr>
        <w:ind w:left="760" w:right="20" w:hanging="320"/>
        <w:spacing w:after="0" w:line="238"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certain recurring, non-cash charges, such as depreciation of property and equipment and amortization of intangible assets, and although these are non-cash charges, the assets being depreciated and amortized may have to be replaced in the future, and Adjusted EBITDA and Adjusted EBITDA Margin do not reflect all cash capital expenditure requirements for such replacements or for new capital expenditure requirements;</w:t>
      </w:r>
    </w:p>
    <w:p>
      <w:pPr>
        <w:spacing w:after="0" w:line="110" w:lineRule="exact"/>
        <w:rPr>
          <w:rFonts w:ascii="Arial" w:cs="Arial" w:eastAsia="Arial" w:hAnsi="Arial"/>
          <w:sz w:val="18"/>
          <w:szCs w:val="18"/>
          <w:color w:val="auto"/>
        </w:rPr>
      </w:pPr>
    </w:p>
    <w:p>
      <w:pPr>
        <w:ind w:left="760" w:right="200" w:hanging="320"/>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stock-based compensation expense, which has been, and will continue to be for the foreseeable future, a significant recurring expense in our business and an important part of our compensation strategy; and</w:t>
      </w:r>
    </w:p>
    <w:p>
      <w:pPr>
        <w:spacing w:after="0" w:line="108" w:lineRule="exact"/>
        <w:rPr>
          <w:rFonts w:ascii="Arial" w:cs="Arial" w:eastAsia="Arial" w:hAnsi="Arial"/>
          <w:sz w:val="18"/>
          <w:szCs w:val="18"/>
          <w:color w:val="auto"/>
        </w:rPr>
      </w:pPr>
    </w:p>
    <w:p>
      <w:pPr>
        <w:ind w:left="760" w:right="400" w:hanging="320"/>
        <w:spacing w:after="0" w:line="246"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the components of other expense (income), net, which consists primarily of foreign currency transaction gains and losses.</w:t>
      </w:r>
    </w:p>
    <w:p>
      <w:pPr>
        <w:spacing w:after="0" w:line="19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The above items are excluded from Adjusted EBITDA and Adjusted EBITDA Margin because these items are non-cash in nature, or because the amount and timing of these items is unpredictable.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reconciliation of net loss, the most directly comparable GAAP financial measure, to Adjusted EBITDA: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ind w:left="6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482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(69,703)</w:t>
            </w:r>
          </w:p>
        </w:tc>
        <w:tc>
          <w:tcPr>
            <w:tcW w:w="56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(77,620)</w:t>
            </w:r>
          </w:p>
        </w:tc>
        <w:tc>
          <w:tcPr>
            <w:tcW w:w="7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(52,450)</w:t>
            </w:r>
          </w:p>
        </w:tc>
        <w:tc>
          <w:tcPr>
            <w:tcW w:w="8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(29,380)</w:t>
            </w:r>
          </w:p>
        </w:tc>
        <w:tc>
          <w:tcPr>
            <w:tcW w:w="40" w:type="dxa"/>
            <w:vAlign w:val="bottom"/>
            <w:shd w:val="clear" w:color="auto" w:fill="DDDDDD"/>
          </w:tcPr>
          <w:p>
            <w:pPr>
              <w:spacing w:after="0"/>
              <w:rPr>
                <w:sz w:val="19"/>
                <w:szCs w:val="19"/>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820" w:type="dxa"/>
            <w:vAlign w:val="bottom"/>
            <w:shd w:val="clear" w:color="auto" w:fill="DDDDDD"/>
          </w:tcPr>
          <w:p>
            <w:pPr>
              <w:ind w:left="280"/>
              <w:spacing w:after="0"/>
              <w:rPr>
                <w:sz w:val="20"/>
                <w:szCs w:val="20"/>
                <w:color w:val="auto"/>
              </w:rPr>
            </w:pPr>
            <w:r>
              <w:rPr>
                <w:rFonts w:ascii="Arial" w:cs="Arial" w:eastAsia="Arial" w:hAnsi="Arial"/>
                <w:sz w:val="14"/>
                <w:szCs w:val="14"/>
                <w:color w:val="auto"/>
              </w:rPr>
              <w:t>Interest expense (income), net</w:t>
            </w:r>
          </w:p>
        </w:tc>
        <w:tc>
          <w:tcPr>
            <w:tcW w:w="44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(87)</w:t>
            </w:r>
          </w:p>
        </w:tc>
        <w:tc>
          <w:tcPr>
            <w:tcW w:w="2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1,146</w:t>
            </w:r>
          </w:p>
        </w:tc>
        <w:tc>
          <w:tcPr>
            <w:tcW w:w="5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1,014</w:t>
            </w:r>
          </w:p>
        </w:tc>
        <w:tc>
          <w:tcPr>
            <w:tcW w:w="5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391</w:t>
            </w:r>
          </w:p>
        </w:tc>
        <w:tc>
          <w:tcPr>
            <w:tcW w:w="40" w:type="dxa"/>
            <w:vAlign w:val="bottom"/>
            <w:shd w:val="clear" w:color="auto" w:fill="DDDDDD"/>
          </w:tcPr>
          <w:p>
            <w:pPr>
              <w:spacing w:after="0"/>
              <w:rPr>
                <w:sz w:val="19"/>
                <w:szCs w:val="19"/>
                <w:color w:val="auto"/>
              </w:rPr>
            </w:pPr>
          </w:p>
        </w:tc>
      </w:tr>
      <w:tr>
        <w:trPr>
          <w:trHeight w:val="210"/>
        </w:trPr>
        <w:tc>
          <w:tcPr>
            <w:tcW w:w="4820" w:type="dxa"/>
            <w:vAlign w:val="bottom"/>
          </w:tcPr>
          <w:p>
            <w:pPr>
              <w:ind w:left="280"/>
              <w:spacing w:after="0"/>
              <w:rPr>
                <w:sz w:val="20"/>
                <w:szCs w:val="20"/>
                <w:color w:val="auto"/>
              </w:rPr>
            </w:pPr>
            <w:r>
              <w:rPr>
                <w:rFonts w:ascii="Arial" w:cs="Arial" w:eastAsia="Arial" w:hAnsi="Arial"/>
                <w:sz w:val="14"/>
                <w:szCs w:val="14"/>
                <w:color w:val="auto"/>
              </w:rPr>
              <w:t>Provision for income taxes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3,149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1,766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1,059</w:t>
            </w:r>
          </w:p>
        </w:tc>
        <w:tc>
          <w:tcPr>
            <w:tcW w:w="40" w:type="dxa"/>
            <w:vAlign w:val="bottom"/>
          </w:tcPr>
          <w:p>
            <w:pPr>
              <w:spacing w:after="0"/>
              <w:rPr>
                <w:sz w:val="18"/>
                <w:szCs w:val="18"/>
                <w:color w:val="auto"/>
              </w:rPr>
            </w:pPr>
          </w:p>
        </w:tc>
      </w:tr>
      <w:tr>
        <w:trPr>
          <w:trHeight w:val="222"/>
        </w:trPr>
        <w:tc>
          <w:tcPr>
            <w:tcW w:w="4820" w:type="dxa"/>
            <w:vAlign w:val="bottom"/>
            <w:shd w:val="clear" w:color="auto" w:fill="DDDDDD"/>
          </w:tcPr>
          <w:p>
            <w:pPr>
              <w:ind w:left="280"/>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8,740</w:t>
            </w:r>
          </w:p>
        </w:tc>
        <w:tc>
          <w:tcPr>
            <w:tcW w:w="24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7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11,055</w:t>
            </w:r>
          </w:p>
        </w:tc>
        <w:tc>
          <w:tcPr>
            <w:tcW w:w="5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5,071</w:t>
            </w:r>
          </w:p>
        </w:tc>
        <w:tc>
          <w:tcPr>
            <w:tcW w:w="5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6,457</w:t>
            </w:r>
          </w:p>
        </w:tc>
        <w:tc>
          <w:tcPr>
            <w:tcW w:w="40" w:type="dxa"/>
            <w:vAlign w:val="bottom"/>
            <w:shd w:val="clear" w:color="auto" w:fill="DDDDDD"/>
          </w:tcPr>
          <w:p>
            <w:pPr>
              <w:spacing w:after="0"/>
              <w:rPr>
                <w:sz w:val="19"/>
                <w:szCs w:val="19"/>
                <w:color w:val="auto"/>
              </w:rPr>
            </w:pPr>
          </w:p>
        </w:tc>
      </w:tr>
      <w:tr>
        <w:trPr>
          <w:trHeight w:val="210"/>
        </w:trPr>
        <w:tc>
          <w:tcPr>
            <w:tcW w:w="482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31,618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20,603</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16,484</w:t>
            </w:r>
          </w:p>
        </w:tc>
        <w:tc>
          <w:tcPr>
            <w:tcW w:w="40" w:type="dxa"/>
            <w:vAlign w:val="bottom"/>
          </w:tcPr>
          <w:p>
            <w:pPr>
              <w:spacing w:after="0"/>
              <w:rPr>
                <w:sz w:val="18"/>
                <w:szCs w:val="18"/>
                <w:color w:val="auto"/>
              </w:rPr>
            </w:pPr>
          </w:p>
        </w:tc>
      </w:tr>
      <w:tr>
        <w:trPr>
          <w:trHeight w:val="216"/>
        </w:trPr>
        <w:tc>
          <w:tcPr>
            <w:tcW w:w="4820" w:type="dxa"/>
            <w:vAlign w:val="bottom"/>
            <w:shd w:val="clear" w:color="auto" w:fill="DDDDDD"/>
          </w:tcPr>
          <w:p>
            <w:pPr>
              <w:ind w:left="280"/>
              <w:spacing w:after="0"/>
              <w:rPr>
                <w:sz w:val="20"/>
                <w:szCs w:val="20"/>
                <w:color w:val="auto"/>
              </w:rPr>
            </w:pPr>
            <w:r>
              <w:rPr>
                <w:rFonts w:ascii="Arial" w:cs="Arial" w:eastAsia="Arial" w:hAnsi="Arial"/>
                <w:sz w:val="14"/>
                <w:szCs w:val="14"/>
                <w:color w:val="auto"/>
              </w:rPr>
              <w:t>Other expense (income), net</w:t>
            </w:r>
          </w:p>
        </w:tc>
        <w:tc>
          <w:tcPr>
            <w:tcW w:w="44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384</w:t>
            </w:r>
          </w:p>
        </w:tc>
        <w:tc>
          <w:tcPr>
            <w:tcW w:w="240" w:type="dxa"/>
            <w:vAlign w:val="bottom"/>
            <w:tcBorders>
              <w:bottom w:val="single" w:sz="8" w:color="auto"/>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(55)</w:t>
            </w:r>
          </w:p>
        </w:tc>
        <w:tc>
          <w:tcPr>
            <w:tcW w:w="5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(138)</w:t>
            </w:r>
          </w:p>
        </w:tc>
        <w:tc>
          <w:tcPr>
            <w:tcW w:w="500" w:type="dxa"/>
            <w:vAlign w:val="bottom"/>
            <w:tcBorders>
              <w:bottom w:val="single" w:sz="8" w:color="auto"/>
            </w:tcBorders>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76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auto"/>
              </w:rPr>
              <w:t>518</w:t>
            </w:r>
          </w:p>
        </w:tc>
        <w:tc>
          <w:tcPr>
            <w:tcW w:w="40" w:type="dxa"/>
            <w:vAlign w:val="bottom"/>
            <w:shd w:val="clear" w:color="auto" w:fill="DDDDDD"/>
          </w:tcPr>
          <w:p>
            <w:pPr>
              <w:spacing w:after="0"/>
              <w:rPr>
                <w:sz w:val="18"/>
                <w:szCs w:val="18"/>
                <w:color w:val="auto"/>
              </w:rPr>
            </w:pPr>
          </w:p>
        </w:tc>
      </w:tr>
      <w:tr>
        <w:trPr>
          <w:trHeight w:val="175"/>
        </w:trPr>
        <w:tc>
          <w:tcPr>
            <w:tcW w:w="4820" w:type="dxa"/>
            <w:vAlign w:val="bottom"/>
          </w:tcPr>
          <w:p>
            <w:pPr>
              <w:spacing w:after="0"/>
              <w:rPr>
                <w:sz w:val="20"/>
                <w:szCs w:val="20"/>
                <w:color w:val="auto"/>
              </w:rPr>
            </w:pPr>
            <w:r>
              <w:rPr>
                <w:rFonts w:ascii="Arial" w:cs="Arial" w:eastAsia="Arial" w:hAnsi="Arial"/>
                <w:sz w:val="14"/>
                <w:szCs w:val="14"/>
                <w:color w:val="auto"/>
              </w:rPr>
              <w:t>Adjusted EBITDA</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(50,328)</w:t>
            </w:r>
          </w:p>
        </w:tc>
        <w:tc>
          <w:tcPr>
            <w:tcW w:w="2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(30,707)</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(24,134)</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(4,471)</w:t>
            </w:r>
          </w:p>
        </w:tc>
        <w:tc>
          <w:tcPr>
            <w:tcW w:w="40" w:type="dxa"/>
            <w:vAlign w:val="bottom"/>
          </w:tcPr>
          <w:p>
            <w:pPr>
              <w:spacing w:after="0"/>
              <w:rPr>
                <w:sz w:val="15"/>
                <w:szCs w:val="15"/>
                <w:color w:val="auto"/>
              </w:rPr>
            </w:pPr>
          </w:p>
        </w:tc>
      </w:tr>
      <w:tr>
        <w:trPr>
          <w:trHeight w:val="20"/>
        </w:trPr>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Included in Adjusted EBITDA are sales tax, other indirect tax, and instructor withholding tax reserve charges of $11.7 million and $2.8 million for 2019 and 2020, respectively, and $0.6 million and ($0.3) million for the six months ending June 30, 2020 and 2021, respectively. In 2020, we implemented enhanced collection, withholding, and reporting processes related to the matters underlying the tax reserve charges, and as a result we expect that these expenses will decline in future years. For more information, see “—Critical accounting policies and estimates—Instructor withholding tax obligations.”</w:t>
      </w:r>
    </w:p>
    <w:p>
      <w:pPr>
        <w:spacing w:after="0" w:line="202"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auto"/>
        </w:rPr>
        <w:t>The following table provides a reconciliation of net loss margin, the most directly comparable GAAP financial measure, to Adjusted EBITDA Margin: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78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78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217"/>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(dollars in thousands, except percentages)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(dollars in thousands, except percentages)</w:t>
            </w:r>
          </w:p>
        </w:tc>
      </w:tr>
      <w:tr>
        <w:trPr>
          <w:trHeight w:val="222"/>
        </w:trPr>
        <w:tc>
          <w:tcPr>
            <w:tcW w:w="348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4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auto"/>
              </w:rPr>
              <w:t>276,327</w:t>
            </w:r>
          </w:p>
        </w:tc>
        <w:tc>
          <w:tcPr>
            <w:tcW w:w="4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DDDDD"/>
          </w:tcPr>
          <w:p>
            <w:pPr>
              <w:jc w:val="right"/>
              <w:ind w:right="380"/>
              <w:spacing w:after="0"/>
              <w:rPr>
                <w:sz w:val="20"/>
                <w:szCs w:val="20"/>
                <w:color w:val="auto"/>
              </w:rPr>
            </w:pPr>
            <w:r>
              <w:rPr>
                <w:rFonts w:ascii="Arial" w:cs="Arial" w:eastAsia="Arial" w:hAnsi="Arial"/>
                <w:sz w:val="14"/>
                <w:szCs w:val="14"/>
                <w:color w:val="auto"/>
              </w:rPr>
              <w:t>429,899</w:t>
            </w:r>
          </w:p>
        </w:tc>
        <w:tc>
          <w:tcPr>
            <w:tcW w:w="30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auto"/>
              </w:rPr>
              <w:t>201,368</w:t>
            </w:r>
          </w:p>
        </w:tc>
        <w:tc>
          <w:tcPr>
            <w:tcW w:w="50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250,643</w:t>
            </w:r>
          </w:p>
        </w:tc>
      </w:tr>
      <w:tr>
        <w:trPr>
          <w:trHeight w:val="210"/>
        </w:trPr>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(69,703)</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(77,620)</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(52,450)</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(29,380)</w:t>
            </w:r>
          </w:p>
        </w:tc>
      </w:tr>
      <w:tr>
        <w:trPr>
          <w:trHeight w:val="222"/>
        </w:trPr>
        <w:tc>
          <w:tcPr>
            <w:tcW w:w="3480" w:type="dxa"/>
            <w:vAlign w:val="bottom"/>
            <w:shd w:val="clear" w:color="auto" w:fill="DDDDDD"/>
          </w:tcPr>
          <w:p>
            <w:pPr>
              <w:spacing w:after="0"/>
              <w:rPr>
                <w:sz w:val="20"/>
                <w:szCs w:val="20"/>
                <w:color w:val="auto"/>
              </w:rPr>
            </w:pPr>
            <w:r>
              <w:rPr>
                <w:rFonts w:ascii="Arial" w:cs="Arial" w:eastAsia="Arial" w:hAnsi="Arial"/>
                <w:sz w:val="14"/>
                <w:szCs w:val="14"/>
                <w:color w:val="auto"/>
              </w:rPr>
              <w:t>Net loss margin</w:t>
            </w:r>
          </w:p>
        </w:tc>
        <w:tc>
          <w:tcPr>
            <w:tcW w:w="3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56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(25)%</w:t>
            </w:r>
          </w:p>
        </w:tc>
        <w:tc>
          <w:tcPr>
            <w:tcW w:w="480" w:type="dxa"/>
            <w:vAlign w:val="bottom"/>
            <w:shd w:val="clear" w:color="auto" w:fill="DDDDDD"/>
          </w:tcPr>
          <w:p>
            <w:pPr>
              <w:spacing w:after="0"/>
              <w:rPr>
                <w:sz w:val="19"/>
                <w:szCs w:val="19"/>
                <w:color w:val="auto"/>
              </w:rPr>
            </w:pP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(18)%</w:t>
            </w:r>
          </w:p>
        </w:tc>
        <w:tc>
          <w:tcPr>
            <w:tcW w:w="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56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(26)%</w:t>
            </w:r>
          </w:p>
        </w:tc>
        <w:tc>
          <w:tcPr>
            <w:tcW w:w="50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(12)%</w:t>
            </w:r>
          </w:p>
        </w:tc>
      </w:tr>
      <w:tr>
        <w:trPr>
          <w:trHeight w:val="210"/>
        </w:trPr>
        <w:tc>
          <w:tcPr>
            <w:tcW w:w="3480" w:type="dxa"/>
            <w:vAlign w:val="bottom"/>
          </w:tcPr>
          <w:p>
            <w:pPr>
              <w:spacing w:after="0"/>
              <w:rPr>
                <w:sz w:val="20"/>
                <w:szCs w:val="20"/>
                <w:color w:val="auto"/>
              </w:rPr>
            </w:pPr>
            <w:r>
              <w:rPr>
                <w:rFonts w:ascii="Arial" w:cs="Arial" w:eastAsia="Arial" w:hAnsi="Arial"/>
                <w:sz w:val="14"/>
                <w:szCs w:val="14"/>
                <w:color w:val="auto"/>
              </w:rPr>
              <w:t>Revenue</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08"/>
              <w:spacing w:after="0"/>
              <w:rPr>
                <w:sz w:val="20"/>
                <w:szCs w:val="20"/>
                <w:color w:val="auto"/>
              </w:rPr>
            </w:pPr>
            <w:r>
              <w:rPr>
                <w:rFonts w:ascii="Arial" w:cs="Arial" w:eastAsia="Arial" w:hAnsi="Arial"/>
                <w:sz w:val="14"/>
                <w:szCs w:val="14"/>
                <w:color w:val="auto"/>
              </w:rPr>
              <w:t>276,327</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rPr>
              <w:t>429,899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8"/>
              <w:spacing w:after="0"/>
              <w:rPr>
                <w:sz w:val="20"/>
                <w:szCs w:val="20"/>
                <w:color w:val="auto"/>
              </w:rPr>
            </w:pPr>
            <w:r>
              <w:rPr>
                <w:rFonts w:ascii="Arial" w:cs="Arial" w:eastAsia="Arial" w:hAnsi="Arial"/>
                <w:sz w:val="14"/>
                <w:szCs w:val="14"/>
                <w:color w:val="auto"/>
              </w:rPr>
              <w:t>201,368</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250,643</w:t>
            </w:r>
          </w:p>
        </w:tc>
      </w:tr>
      <w:tr>
        <w:trPr>
          <w:trHeight w:val="222"/>
        </w:trPr>
        <w:tc>
          <w:tcPr>
            <w:tcW w:w="3480" w:type="dxa"/>
            <w:vAlign w:val="bottom"/>
            <w:shd w:val="clear" w:color="auto" w:fill="DDDDDD"/>
          </w:tcPr>
          <w:p>
            <w:pPr>
              <w:spacing w:after="0"/>
              <w:rPr>
                <w:sz w:val="20"/>
                <w:szCs w:val="20"/>
                <w:color w:val="auto"/>
              </w:rPr>
            </w:pPr>
            <w:r>
              <w:rPr>
                <w:rFonts w:ascii="Arial" w:cs="Arial" w:eastAsia="Arial" w:hAnsi="Arial"/>
                <w:sz w:val="14"/>
                <w:szCs w:val="14"/>
                <w:color w:val="auto"/>
              </w:rPr>
              <w:t>Adjusted EBITDA</w:t>
            </w:r>
          </w:p>
        </w:tc>
        <w:tc>
          <w:tcPr>
            <w:tcW w:w="4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(50,328)</w:t>
            </w:r>
          </w:p>
        </w:tc>
        <w:tc>
          <w:tcPr>
            <w:tcW w:w="48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(30,707)</w:t>
            </w:r>
          </w:p>
        </w:tc>
        <w:tc>
          <w:tcPr>
            <w:tcW w:w="30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(24,134)</w:t>
            </w:r>
          </w:p>
        </w:tc>
        <w:tc>
          <w:tcPr>
            <w:tcW w:w="50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(4,471)</w:t>
            </w:r>
          </w:p>
        </w:tc>
      </w:tr>
      <w:tr>
        <w:trPr>
          <w:trHeight w:val="204"/>
        </w:trPr>
        <w:tc>
          <w:tcPr>
            <w:tcW w:w="3480" w:type="dxa"/>
            <w:vAlign w:val="bottom"/>
          </w:tcPr>
          <w:p>
            <w:pPr>
              <w:spacing w:after="0"/>
              <w:rPr>
                <w:sz w:val="20"/>
                <w:szCs w:val="20"/>
                <w:color w:val="auto"/>
              </w:rPr>
            </w:pPr>
            <w:r>
              <w:rPr>
                <w:rFonts w:ascii="Arial" w:cs="Arial" w:eastAsia="Arial" w:hAnsi="Arial"/>
                <w:sz w:val="14"/>
                <w:szCs w:val="14"/>
                <w:color w:val="auto"/>
              </w:rPr>
              <w:t>Adjusted EBITDA margin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4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5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r>
    </w:tbl>
    <w:p>
      <w:pPr>
        <w:spacing w:after="0" w:line="2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Net loss increased by $7.9 million in 2020 compared to the same period in the prior year and Adjusted EBITDA increased by $19.6 million in 2020 compared to the same period in the prior year primarily due to strong revenue growth in both our consumer and UB offerings in excess of the growth of our expenses. Net loss decreased by $23.1 million in the six months ended June 30, 2021 compared to the same period in the prior period and Adjusted EBITDA increased by $19.7 million in the six months ended June 30, 2021 compared to the same period in the prior period primarily due to strong revenue growth in both our consumer and UB offerings in excess of the growth of our expenses. In 2020, we benefited from an acceleration of UB and consumer revenue growth beginning the second quarter due to an increase in the number of learners and UB customers as a result of the COVID-19 pandemic. We continued to benefit from higher levels of consumer and UB revenue compared to the same period in the prior year as these new learners and UB customers continued their usage of our platform during the third and fourth quarters.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30"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Since our inception, we have financed our operations primarily through proceeds from our redeemable convertible preferred stock issuances, as well as from revenue. We have generated significant net losses from our operations as reflected in our accumulated deficit of $378.5 million as of December 31, 2020 and $407.9 million as of June 30, 2021. We have incurred operating losses and generated negative cash flows from operations as we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have invested to support the growth of our business. Since our inception through June 30, 2021, we have raised aggregate net proceeds of $274.3 million through the sale of our redeemable convertible preferred stock. Our principal use of cash is to fund our operations to support our growth.</w:t>
      </w:r>
    </w:p>
    <w:p>
      <w:pPr>
        <w:spacing w:after="0" w:line="2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believe that our existing cash and cash equivalents and marketable securities and our expected cash flows from operations will be sufficient to meet our cash needs for at least the next 12 months. Our remaining non-U.S. cash and cash equivalents have been earmarked for indefinite investment in our operations outside the U.S., thus no U.S. current or deferred taxes have been accrued. Over the longer term, our future capital requirements will depend on many factors, including our growth rate, the timing and extent of our sales and marketing and research and development expenditures, the continuing market acceptance of our offerings, and any investments or acquisitions we may choose to pursue in the future. To execute on our strategic initiatives and continue to grow our business, we may incur operating losses and generate negative cash flows from operations in the future, and as a result, we may require additional capital resources. In the event that we need to borrow funds or issue additional equity, we cannot assure you that any such additional financing will be available on terms acceptable to us, if at all. In addition, any future borrowings may result in additional restrictions on our business and any issuance of additional equity would result in dilution to investors. If we are unable to raise additional capital when desired and on terms acceptable to us, our business, results of operations, and financial condition could be materially and adversely affected.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jc w:val="right"/>
              <w:ind w:right="86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5700" w:type="dxa"/>
            <w:vAlign w:val="bottom"/>
            <w:shd w:val="clear" w:color="auto" w:fill="DDDDDD"/>
          </w:tcPr>
          <w:p>
            <w:pPr>
              <w:spacing w:after="0"/>
              <w:rPr>
                <w:sz w:val="20"/>
                <w:szCs w:val="20"/>
                <w:color w:val="auto"/>
              </w:rPr>
            </w:pPr>
            <w:r>
              <w:rPr>
                <w:rFonts w:ascii="Arial" w:cs="Arial" w:eastAsia="Arial" w:hAnsi="Arial"/>
                <w:sz w:val="14"/>
                <w:szCs w:val="14"/>
                <w:color w:val="auto"/>
              </w:rPr>
              <w:t>Net cash provided by (used in):</w:t>
            </w:r>
          </w:p>
        </w:tc>
        <w:tc>
          <w:tcPr>
            <w:tcW w:w="3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Operating activities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(16,455)</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9,624</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13,222</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(5,486)</w:t>
            </w:r>
          </w:p>
        </w:tc>
      </w:tr>
      <w:tr>
        <w:trPr>
          <w:trHeight w:val="216"/>
        </w:trPr>
        <w:tc>
          <w:tcPr>
            <w:tcW w:w="5700" w:type="dxa"/>
            <w:vAlign w:val="bottom"/>
            <w:shd w:val="clear" w:color="auto" w:fill="DDDDDD"/>
          </w:tcPr>
          <w:p>
            <w:pPr>
              <w:ind w:left="260"/>
              <w:spacing w:after="0"/>
              <w:rPr>
                <w:sz w:val="20"/>
                <w:szCs w:val="20"/>
                <w:color w:val="auto"/>
              </w:rPr>
            </w:pPr>
            <w:r>
              <w:rPr>
                <w:rFonts w:ascii="Arial" w:cs="Arial" w:eastAsia="Arial" w:hAnsi="Arial"/>
                <w:sz w:val="14"/>
                <w:szCs w:val="14"/>
                <w:color w:val="auto"/>
              </w:rPr>
              <w:t>Investing activities</w:t>
            </w:r>
          </w:p>
        </w:tc>
        <w:tc>
          <w:tcPr>
            <w:tcW w:w="3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6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14,611</w:t>
            </w:r>
          </w:p>
        </w:tc>
        <w:tc>
          <w:tcPr>
            <w:tcW w:w="200" w:type="dxa"/>
            <w:vAlign w:val="bottom"/>
            <w:shd w:val="clear" w:color="auto" w:fill="DDDDDD"/>
          </w:tcPr>
          <w:p>
            <w:pPr>
              <w:spacing w:after="0"/>
              <w:rPr>
                <w:sz w:val="18"/>
                <w:szCs w:val="18"/>
                <w:color w:val="auto"/>
              </w:rPr>
            </w:pPr>
          </w:p>
        </w:tc>
        <w:tc>
          <w:tcPr>
            <w:tcW w:w="1020" w:type="dxa"/>
            <w:vAlign w:val="bottom"/>
            <w:gridSpan w:val="2"/>
            <w:shd w:val="clear" w:color="auto" w:fill="DDDDDD"/>
          </w:tcPr>
          <w:p>
            <w:pPr>
              <w:jc w:val="right"/>
              <w:ind w:right="240"/>
              <w:spacing w:after="0"/>
              <w:rPr>
                <w:sz w:val="20"/>
                <w:szCs w:val="20"/>
                <w:color w:val="auto"/>
              </w:rPr>
            </w:pPr>
            <w:r>
              <w:rPr>
                <w:rFonts w:ascii="Arial" w:cs="Arial" w:eastAsia="Arial" w:hAnsi="Arial"/>
                <w:sz w:val="14"/>
                <w:szCs w:val="14"/>
                <w:color w:val="auto"/>
              </w:rPr>
              <w:t>(14,537)</w:t>
            </w:r>
          </w:p>
        </w:tc>
        <w:tc>
          <w:tcPr>
            <w:tcW w:w="2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(6,990)</w:t>
            </w:r>
          </w:p>
        </w:tc>
        <w:tc>
          <w:tcPr>
            <w:tcW w:w="1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74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(9,791)</w:t>
            </w: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11,265</w:t>
            </w:r>
          </w:p>
        </w:tc>
        <w:tc>
          <w:tcPr>
            <w:tcW w:w="2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131,093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46,867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3,444</w:t>
            </w: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700" w:type="dxa"/>
            <w:vAlign w:val="bottom"/>
            <w:shd w:val="clear" w:color="auto" w:fill="DDDDDD"/>
          </w:tcPr>
          <w:p>
            <w:pPr>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44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9,421</w:t>
            </w:r>
          </w:p>
        </w:tc>
        <w:tc>
          <w:tcPr>
            <w:tcW w:w="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126,180</w:t>
            </w:r>
          </w:p>
        </w:tc>
        <w:tc>
          <w:tcPr>
            <w:tcW w:w="36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53,099</w:t>
            </w:r>
          </w:p>
        </w:tc>
        <w:tc>
          <w:tcPr>
            <w:tcW w:w="4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(11,833)</w:t>
            </w: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Cash provided by (used in)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spacing w:after="0" w:line="20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Our main source of operating cash is payments received from our customers. Our primary use of cash from operating activities are for personnel-related expenses, instructor payments, marketing and advertising expenses, indirect taxes, and third-party cloud infrastructure expenses.</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For the six months ended June 30, 2020, net cash provided by operating activities was $13.2 million, primarily consisting of our net loss of $52.5 million, adjusted for non-cash charges of $28.7 million and net cash inflows of $37.0 million provided by changes in our operating assets and liabilities. The main drivers of the changes in operating assets and liabilities were a $36.6 million increase in deferred revenue, resulting primarily from our enterprise business growth, a $11.9 million increase in accrued expenses and other current liabilities, partially offset by a $5.7 million increase in accounts receivable and a $6.3 million increase in deferred contract costs.</w:t>
      </w:r>
    </w:p>
    <w:p>
      <w:pPr>
        <w:spacing w:after="0" w:line="202"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For the six months ended June 30, 2021, cash used in operating activities was $5.5 million, primarily consisting of our net loss of $29.4 million, adjusted for non-cash charges of $30.3 million and net cash outflows of $6.5 million provided by changes in our operating assets and liabilities. The main drivers of the changes in operating assets and liabilities were a $21.6 million increase in deferred revenue, resulting primarily from our enterprise business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growth and a $3.3 million decrease in accounts receivable, partially offset by a $8.4 million decrease accrued compensation and benefits, a $1.3 million decrease in content costs payable due to the growth of our business, and a $15.7 million increase in deferred contract costs.</w:t>
      </w:r>
    </w:p>
    <w:p>
      <w:pPr>
        <w:spacing w:after="0" w:line="175"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Cash provided by operating activities decreased by $18.7 million during the six months ended June 30, 2021, compared to the six months ended June 30, 2020, primarily due to our business growth and the timing of payment of sales and other indirect tax liabilities.</w:t>
      </w:r>
    </w:p>
    <w:p>
      <w:pPr>
        <w:spacing w:after="0" w:line="1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For 2019, net cash used in operating activities was $16.5 million, primarily consisting of our net loss of $69.7 million, adjusted for non-cash charges of $21.5 million and net cash inflows of $31.7 million provided by changes in our operating assets and liabilities. The main drivers of the changes in operating assets and liabilities were a $25.3 million increase in deferred revenue, resulting primarily from our enterprise business growth, a $17.7 million increase in accrued expenses and other current liabilities, partially offset by a $10.6 million increase in accounts receivable and a $10.7 million increase in deferred contract costs.</w:t>
      </w:r>
    </w:p>
    <w:p>
      <w:pPr>
        <w:spacing w:after="0" w:line="202"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For 2020, net cash provided by operating activities was $9.6 million, primarily consisting of our net loss of $77.6 million, adjusted for non-cash charges of $50.4 million and net cash inflows of $36.9 million provided by changes in our operating assets and liabilities. The main drivers of the changes in operating assets and liabilities were a $54.7 million increase in deferred revenue, resulting primarily from our enterprise business growth, a $10.8 million increase accrued compensation and benefits, and a $6.6 million increase in content costs payable due to the growth of our business, partially offset by a $19.6 million increase in accounts receivable and a $18.9 million increase in deferred contract costs.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provided by operating activities increased by $26.1 million during 2020, compared to 2019, primarily due to our business growth.</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For the six months ended June 30, 2020, cash used in investing activities was $7.0 million, primarily as a result of capital expenditures for property and equipment and capitalized software costs.</w:t>
      </w:r>
    </w:p>
    <w:p>
      <w:pPr>
        <w:spacing w:after="0" w:line="197"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For the six months ended June 30, 2021, net cash used in investing activities was $9.8 million, primarily as a result of capital expenditures for property and equipment and capitalized software costs.</w:t>
      </w:r>
    </w:p>
    <w:p>
      <w:pPr>
        <w:spacing w:after="0" w:line="197"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auto"/>
        </w:rPr>
        <w:t>For 2019, net cash provided by investing activities was $14.6 million, primarily as a result of net sales and maturities of marketable securities, offset by capital expenditures for property and equipment and capitalized software costs.</w:t>
      </w:r>
    </w:p>
    <w:p>
      <w:pPr>
        <w:spacing w:after="0" w:line="197"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For 2020, cash used in investing activities was $14.5 million, primarily as a result of capital expenditures for property and equipment and capitalized software costs.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For the six months ended June 30, 2020, net cash provided by financing activities was $46.9 million, primarily as a result of proceeds from our issuance of redeemable convertible preferred stock and issuance of common stock following employee stock option exercises.</w:t>
      </w:r>
    </w:p>
    <w:p>
      <w:pPr>
        <w:spacing w:after="0" w:line="19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For the six months ended June 30, 2021, net cash provided by financing activities was $3.4 million, primarily as a result of proceeds from issuance of common stock following employee stock option exercises, offset by payments of redeemable convertible preferred stock issuance costs and deferred offering costs.</w:t>
      </w:r>
    </w:p>
    <w:p>
      <w:pPr>
        <w:spacing w:after="0" w:line="20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For 2019, net cash provided by financing activities was $11.3 million, primarily as a result of proceeds from issuance of common stock following employee stock option exercises.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For 2020, net cash provided by financing activities was $131.1 million, primarily as a result of proceeds from our issuance of redeemable convertible preferred stock and issuance of common stock following employee stock option exercises.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is information concerning our contractual commitments and obligations as of December 31, 2020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3" w:lineRule="exact"/>
              <w:rPr>
                <w:sz w:val="20"/>
                <w:szCs w:val="20"/>
                <w:color w:val="auto"/>
              </w:rPr>
            </w:pPr>
            <w:r>
              <w:rPr>
                <w:rFonts w:ascii="Arial" w:cs="Arial" w:eastAsia="Arial" w:hAnsi="Arial"/>
                <w:sz w:val="14"/>
                <w:szCs w:val="14"/>
                <w:b w:val="1"/>
                <w:bCs w:val="1"/>
                <w:color w:val="auto"/>
              </w:rPr>
              <w:t>More than</w:t>
            </w:r>
          </w:p>
        </w:tc>
      </w:tr>
      <w:tr>
        <w:trPr>
          <w:trHeight w:val="189"/>
        </w:trPr>
        <w:tc>
          <w:tcPr>
            <w:tcW w:w="6100" w:type="dxa"/>
            <w:vAlign w:val="bottom"/>
            <w:tcBorders>
              <w:bottom w:val="single" w:sz="8" w:color="DDDDDD"/>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1 Year</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1-3 Years</w:t>
            </w: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5 Years</w:t>
            </w:r>
          </w:p>
        </w:tc>
      </w:tr>
      <w:tr>
        <w:trPr>
          <w:trHeight w:val="196"/>
        </w:trPr>
        <w:tc>
          <w:tcPr>
            <w:tcW w:w="6100" w:type="dxa"/>
            <w:vAlign w:val="bottom"/>
            <w:shd w:val="clear" w:color="auto" w:fill="DDDDDD"/>
          </w:tcPr>
          <w:p>
            <w:pPr>
              <w:spacing w:after="0"/>
              <w:rPr>
                <w:sz w:val="20"/>
                <w:szCs w:val="20"/>
                <w:color w:val="auto"/>
              </w:rPr>
            </w:pPr>
            <w:r>
              <w:rPr>
                <w:rFonts w:ascii="Arial" w:cs="Arial" w:eastAsia="Arial" w:hAnsi="Arial"/>
                <w:sz w:val="14"/>
                <w:szCs w:val="14"/>
                <w:color w:val="auto"/>
              </w:rPr>
              <w:t>Operating lease commitments</w:t>
            </w:r>
          </w:p>
        </w:tc>
        <w:tc>
          <w:tcPr>
            <w:tcW w:w="2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25,298</w:t>
            </w:r>
          </w:p>
        </w:tc>
        <w:tc>
          <w:tcPr>
            <w:tcW w:w="8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6,210</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12,669</w:t>
            </w:r>
          </w:p>
        </w:tc>
        <w:tc>
          <w:tcPr>
            <w:tcW w:w="30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6,009</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410</w:t>
            </w:r>
          </w:p>
        </w:tc>
      </w:tr>
      <w:tr>
        <w:trPr>
          <w:trHeight w:val="162"/>
        </w:trPr>
        <w:tc>
          <w:tcPr>
            <w:tcW w:w="6100" w:type="dxa"/>
            <w:vAlign w:val="bottom"/>
          </w:tcPr>
          <w:p>
            <w:pPr>
              <w:spacing w:after="0" w:line="162" w:lineRule="exact"/>
              <w:rPr>
                <w:sz w:val="20"/>
                <w:szCs w:val="20"/>
                <w:color w:val="auto"/>
              </w:rPr>
            </w:pPr>
            <w:r>
              <w:rPr>
                <w:rFonts w:ascii="Arial" w:cs="Arial" w:eastAsia="Arial" w:hAnsi="Arial"/>
                <w:sz w:val="11"/>
                <w:szCs w:val="11"/>
                <w:color w:val="auto"/>
              </w:rPr>
              <w:t>Purchase commitments</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9,037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8,075</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888</w:t>
            </w:r>
          </w:p>
        </w:tc>
        <w:tc>
          <w:tcPr>
            <w:tcW w:w="3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100" w:type="dxa"/>
            <w:vAlign w:val="bottom"/>
            <w:shd w:val="clear" w:color="auto" w:fill="DDDDDD"/>
          </w:tcPr>
          <w:p>
            <w:pPr>
              <w:spacing w:after="0"/>
              <w:rPr>
                <w:sz w:val="20"/>
                <w:szCs w:val="20"/>
                <w:color w:val="auto"/>
              </w:rPr>
            </w:pPr>
            <w:r>
              <w:rPr>
                <w:rFonts w:ascii="Arial" w:cs="Arial" w:eastAsia="Arial" w:hAnsi="Arial"/>
                <w:sz w:val="14"/>
                <w:szCs w:val="14"/>
                <w:color w:val="auto"/>
              </w:rPr>
              <w:t>Total</w:t>
            </w:r>
          </w:p>
        </w:tc>
        <w:tc>
          <w:tcPr>
            <w:tcW w:w="2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34,335</w:t>
            </w:r>
          </w:p>
        </w:tc>
        <w:tc>
          <w:tcPr>
            <w:tcW w:w="8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14,285</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13,557</w:t>
            </w:r>
          </w:p>
        </w:tc>
        <w:tc>
          <w:tcPr>
            <w:tcW w:w="30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6,083</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410</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Relates to non-cancelable commitments for network and cloud services in the ordinary course of business with varying expiration terms through October 31, 2022.</w:t>
      </w:r>
    </w:p>
    <w:p>
      <w:pPr>
        <w:spacing w:after="0" w:line="215" w:lineRule="exact"/>
        <w:rPr>
          <w:sz w:val="20"/>
          <w:szCs w:val="20"/>
          <w:color w:val="auto"/>
        </w:rPr>
      </w:pPr>
    </w:p>
    <w:p>
      <w:pPr>
        <w:ind w:left="120" w:right="180"/>
        <w:spacing w:after="0" w:line="274" w:lineRule="auto"/>
        <w:rPr>
          <w:sz w:val="20"/>
          <w:szCs w:val="20"/>
          <w:color w:val="auto"/>
        </w:rPr>
      </w:pPr>
      <w:r>
        <w:rPr>
          <w:rFonts w:ascii="Arial" w:cs="Arial" w:eastAsia="Arial" w:hAnsi="Arial"/>
          <w:sz w:val="17"/>
          <w:szCs w:val="17"/>
          <w:color w:val="auto"/>
        </w:rPr>
        <w:t>Our operating lease obligations as of December 31, 2020 were $25.3 million, which consist of payments related to leased facilities under operating lease agreements expiring through 2025. We have office facility operating leases in the United States, Ireland, and Turkey.</w:t>
      </w:r>
    </w:p>
    <w:p>
      <w:pPr>
        <w:spacing w:after="0" w:line="175"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Our purchase commitments as of December 31, 2020 were $9.0 million, which consisted of commitments related to cloud infrastructure providers, network service providers, and paid advertising vendors.</w:t>
      </w:r>
    </w:p>
    <w:p>
      <w:pPr>
        <w:spacing w:after="0" w:line="197"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Of the $8.1 million purchase commitments due in less than 1 year as of December 31, 2020, $7.5 million is related to a one-year agreement with a cloud hosting provider that we entered into in December 2020, with a committed spend of $7.5 million during 2021. We did not have material obligations or commitments with any other individual vendors as of December 31, 2020.</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During the six months ended June 30, 2021, we entered into additional noncancelable purchase commitments with a variety of software-as-a-service, cloud infrastructure, and compliance-related vendors. This resulted in additional purchase commitments totaling $7.9 million, $4.7 million, and $0.5 million for the remainder of 2021, fiscal 2022, and fiscal 2023, respectively, which are not reflected in the table above. There were no material changes to our operating lease commitments during the six months ended June 30, 2021.</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During the period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 See Note 2 to our consolidated financial statements appearing elsewhere in this prospectus for a description of our other significant accounting policies.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8"/>
          <w:szCs w:val="18"/>
          <w:color w:val="auto"/>
        </w:rPr>
        <w:t>We derive revenue from contracts with customers for access to our online learning platform and related services. We derive our revenue from consumer and UB customer arrangements.</w:t>
      </w:r>
    </w:p>
    <w:p>
      <w:pPr>
        <w:spacing w:after="0" w:line="179" w:lineRule="exact"/>
        <w:rPr>
          <w:sz w:val="20"/>
          <w:szCs w:val="20"/>
          <w:color w:val="auto"/>
        </w:rPr>
      </w:pPr>
    </w:p>
    <w:p>
      <w:pPr>
        <w:jc w:val="both"/>
        <w:ind w:left="120" w:right="160"/>
        <w:spacing w:after="0" w:line="250" w:lineRule="auto"/>
        <w:rPr>
          <w:sz w:val="20"/>
          <w:szCs w:val="20"/>
          <w:color w:val="auto"/>
        </w:rPr>
      </w:pPr>
      <w:r>
        <w:rPr>
          <w:rFonts w:ascii="Arial" w:cs="Arial" w:eastAsia="Arial" w:hAnsi="Arial"/>
          <w:sz w:val="18"/>
          <w:szCs w:val="18"/>
          <w:i w:val="1"/>
          <w:iCs w:val="1"/>
          <w:color w:val="auto"/>
        </w:rPr>
        <w:t>Consumer revenue</w:t>
      </w:r>
      <w:r>
        <w:rPr>
          <w:rFonts w:ascii="Arial" w:cs="Arial" w:eastAsia="Arial" w:hAnsi="Arial"/>
          <w:sz w:val="18"/>
          <w:szCs w:val="18"/>
          <w:color w:val="auto"/>
        </w:rPr>
        <w:t>—We generate revenue by selling access to course content on the Udemy platform to general consumers.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consist of (i) single course purchases and (ii) consumer subscription offerings. All contracts with consumer customers are billed in advance and require payment by the customer prior to accessing any course content.</w:t>
      </w:r>
    </w:p>
    <w:p>
      <w:pPr>
        <w:spacing w:after="0" w:line="19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Consumers who purchase individual courses gain access to course content by making a purchase on our marketplace platform. After checkout, consumers who purchase an individual course receive a non-exclusive lifetime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fulfills its hosting obligation to the learner. The series of distinct services represents a single performance obligation that is satisfied over the estimated service period. Because consumers who purchase an individual course receive lifetime access to their purchased content, we believe the estimated service period best represents the time period during which learners access the online course content on the platform. The estimated service period for single course purchases is four months from the date of enrollment.</w:t>
      </w:r>
    </w:p>
    <w:p>
      <w:pPr>
        <w:spacing w:after="0" w:line="20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Consumer subscriptions are typically one-month in duration and paid in advance, with new customers able to sign up for a 7-day free trial period. Subscribers have continuous access to enroll in and consume an unlimited number of curated courses included in the subscription catalogue on our platform during the subscription term. Subscribers retain access to the courses in which they enroll for the duration of their subscriptions (including any renewal period), even if the instructor subsequently elects to remove the course from Udemy’s subscription programs. The continual access to the platform represents a series of distinct services, as we continually provide access to, and fulfill our obligation to, the customer over the contract term. As a result, revenue is recognized ratably over the subscription term. Consumer subscriptions automatically renew at the end of each month. Customers may cancel the renewal of their subscription at any point but will retain their access to the platform until the end of the current subscription term.</w:t>
      </w:r>
    </w:p>
    <w:p>
      <w:pPr>
        <w:spacing w:after="0" w:line="190" w:lineRule="exact"/>
        <w:rPr>
          <w:sz w:val="20"/>
          <w:szCs w:val="20"/>
          <w:color w:val="auto"/>
        </w:rPr>
      </w:pPr>
    </w:p>
    <w:p>
      <w:pPr>
        <w:ind w:left="120" w:right="120"/>
        <w:spacing w:after="0"/>
        <w:rPr>
          <w:sz w:val="20"/>
          <w:szCs w:val="20"/>
          <w:color w:val="auto"/>
        </w:rPr>
      </w:pPr>
      <w:r>
        <w:rPr>
          <w:rFonts w:ascii="Arial" w:cs="Arial" w:eastAsia="Arial" w:hAnsi="Arial"/>
          <w:sz w:val="18"/>
          <w:szCs w:val="18"/>
          <w:i w:val="1"/>
          <w:iCs w:val="1"/>
          <w:color w:val="auto"/>
        </w:rPr>
        <w:t>Enterprise revenue</w:t>
      </w:r>
      <w:r>
        <w:rPr>
          <w:rFonts w:ascii="Arial" w:cs="Arial" w:eastAsia="Arial" w:hAnsi="Arial"/>
          <w:sz w:val="18"/>
          <w:szCs w:val="18"/>
          <w:color w:val="auto"/>
        </w:rPr>
        <w:t>—We sell subscription licenses to business, government, and university customers that provide users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enroll in courses and receive certifications upon completion. UB contracts are typically between one and three years in length and consist of a fixed quantity of seat licenses, which allows each seat to access an unlimited number of course enrollments during the contract term. Subscribers retain access to the courses in which they enroll for the duration of their subscriptions (including any renewal period), even if the instructor subsequently elects to remove the course from Udemy’s subscription programs. We recognize revenue ratably over the contracted period, after access has been granted to the UB customer, as learners have unlimited access to the course content during the contracted period.</w:t>
      </w:r>
    </w:p>
    <w:p>
      <w:pPr>
        <w:spacing w:after="0" w:line="20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We have determined that we are the principal to customers who purchase access to online individual course content or through a subscription offering, as we control the promised goods or services (i.e., access to course content via the Udemy platform) before it is transferred to the customer and are primarily responsible for fulfillment with respect to delivering access to course content. We also have substantial discretion to determine the pricing of our offerings. We therefore report revenue related to these arrangements based on the gross purchase price paid by customers.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rPr>
          <w:sz w:val="20"/>
          <w:szCs w:val="20"/>
          <w:color w:val="auto"/>
        </w:rPr>
      </w:pPr>
      <w:r>
        <w:rPr>
          <w:rFonts w:ascii="Arial" w:cs="Arial" w:eastAsia="Arial" w:hAnsi="Arial"/>
          <w:sz w:val="18"/>
          <w:szCs w:val="18"/>
          <w:color w:val="auto"/>
        </w:rPr>
        <w:t>Revenue from contracts with customers is recognized when control of promised services is transferred. The amount of revenue recognized reflects the consideration that we expect to be entitled to receive in exchange for these services. We determine revenue recognition in accordance with Accounting Standards Codification, or ASC, 606 through the following five steps:</w:t>
      </w:r>
    </w:p>
    <w:p>
      <w:pPr>
        <w:spacing w:after="0" w:line="230"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Identify the contract with a customer</w:t>
      </w:r>
    </w:p>
    <w:p>
      <w:pPr>
        <w:spacing w:after="0" w:line="103" w:lineRule="exact"/>
        <w:rPr>
          <w:rFonts w:ascii="Arial" w:cs="Arial" w:eastAsia="Arial" w:hAnsi="Arial"/>
          <w:sz w:val="18"/>
          <w:szCs w:val="18"/>
          <w:color w:val="auto"/>
        </w:rPr>
      </w:pPr>
    </w:p>
    <w:p>
      <w:pPr>
        <w:ind w:left="1000" w:right="120"/>
        <w:spacing w:after="0" w:line="236" w:lineRule="auto"/>
        <w:rPr>
          <w:rFonts w:ascii="Arial" w:cs="Arial" w:eastAsia="Arial" w:hAnsi="Arial"/>
          <w:sz w:val="18"/>
          <w:szCs w:val="18"/>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if available. Consumer customers are generally required to pay in advance using a credit card. Generally, UB customers are billed upfront annually for contracts with terms of one year or longer or in advance quarterly or semi-annually for contracts with terms of less than one year.</w:t>
      </w:r>
    </w:p>
    <w:p>
      <w:pPr>
        <w:spacing w:after="0" w:line="113"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Identify the performance obligations in the contract</w:t>
      </w:r>
    </w:p>
    <w:p>
      <w:pPr>
        <w:spacing w:after="0" w:line="103" w:lineRule="exact"/>
        <w:rPr>
          <w:rFonts w:ascii="Arial" w:cs="Arial" w:eastAsia="Arial" w:hAnsi="Arial"/>
          <w:sz w:val="18"/>
          <w:szCs w:val="18"/>
          <w:color w:val="auto"/>
        </w:rPr>
      </w:pPr>
    </w:p>
    <w:p>
      <w:pPr>
        <w:ind w:left="1000" w:right="220"/>
        <w:spacing w:after="0" w:line="237" w:lineRule="auto"/>
        <w:rPr>
          <w:rFonts w:ascii="Arial" w:cs="Arial" w:eastAsia="Arial" w:hAnsi="Arial"/>
          <w:sz w:val="18"/>
          <w:szCs w:val="18"/>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Customers do not have the ability to take possession of the software supporting the platform and, as a result, contracts are accounted for as service arrangements.</w:t>
      </w:r>
    </w:p>
    <w:p>
      <w:pPr>
        <w:spacing w:after="0" w:line="96" w:lineRule="exact"/>
        <w:rPr>
          <w:rFonts w:ascii="Arial" w:cs="Arial" w:eastAsia="Arial" w:hAnsi="Arial"/>
          <w:sz w:val="18"/>
          <w:szCs w:val="18"/>
          <w:color w:val="auto"/>
        </w:rPr>
      </w:pPr>
    </w:p>
    <w:p>
      <w:pPr>
        <w:ind w:left="1000" w:right="80"/>
        <w:spacing w:after="0" w:line="237" w:lineRule="auto"/>
        <w:rPr>
          <w:rFonts w:ascii="Arial" w:cs="Arial" w:eastAsia="Arial" w:hAnsi="Arial"/>
          <w:sz w:val="18"/>
          <w:szCs w:val="18"/>
          <w:color w:val="auto"/>
        </w:rPr>
      </w:pPr>
      <w:r>
        <w:rPr>
          <w:rFonts w:ascii="Arial" w:cs="Arial" w:eastAsia="Arial" w:hAnsi="Arial"/>
          <w:sz w:val="18"/>
          <w:szCs w:val="18"/>
          <w:color w:val="auto"/>
        </w:rPr>
        <w:t>The non-exclusive lifetime access license associated with single course purchases and the licensed content associated with subscriptions are not considered distinct from the Udemy platform, because the course content is significantly integrated, and highly interdependent and interrelated with the platform. Specifically, the learner does not obtain control of the course content’s functionality without the Udemy platform. Accordingly, we have concluded there is a single, combined performance obligation, which is customer’s access to the online content on the Udemy platform, representing a series of distinct services as we continually provide access to and fulfills our obligation to allow access to licensed content and platform functionality to the learner.</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Determine the transaction price</w:t>
      </w:r>
    </w:p>
    <w:p>
      <w:pPr>
        <w:spacing w:after="0" w:line="103" w:lineRule="exact"/>
        <w:rPr>
          <w:rFonts w:ascii="Arial" w:cs="Arial" w:eastAsia="Arial" w:hAnsi="Arial"/>
          <w:sz w:val="18"/>
          <w:szCs w:val="18"/>
          <w:color w:val="auto"/>
        </w:rPr>
      </w:pPr>
    </w:p>
    <w:p>
      <w:pPr>
        <w:ind w:left="1000" w:right="80"/>
        <w:spacing w:after="0" w:line="237" w:lineRule="auto"/>
        <w:rPr>
          <w:rFonts w:ascii="Arial" w:cs="Arial" w:eastAsia="Arial" w:hAnsi="Arial"/>
          <w:sz w:val="18"/>
          <w:szCs w:val="18"/>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The prices for consumer and UB contracts are fixed at contract inception and do not contain significant estimates related to variable consideration. With respect to single course purchases, consumers may request a full refund within 30 days after the initial purchase transaction. We estimate and establish a refund reserve based on historical refund rates, which has historically been immaterial. None of our contracts contain a significant financing component. Revenue is recognized net of any taxes collected from customers, which are subsequently remitted to governmental entities (e.g., sales and other indirect taxes).</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Allocate the transaction price to performance obligations in the contract</w:t>
      </w:r>
    </w:p>
    <w:p>
      <w:pPr>
        <w:spacing w:after="0" w:line="103" w:lineRule="exact"/>
        <w:rPr>
          <w:rFonts w:ascii="Arial" w:cs="Arial" w:eastAsia="Arial" w:hAnsi="Arial"/>
          <w:sz w:val="18"/>
          <w:szCs w:val="18"/>
          <w:color w:val="auto"/>
        </w:rPr>
      </w:pPr>
    </w:p>
    <w:p>
      <w:pPr>
        <w:ind w:left="1000" w:right="400"/>
        <w:spacing w:after="0" w:line="261" w:lineRule="auto"/>
        <w:rPr>
          <w:rFonts w:ascii="Arial" w:cs="Arial" w:eastAsia="Arial" w:hAnsi="Arial"/>
          <w:sz w:val="18"/>
          <w:szCs w:val="18"/>
          <w:color w:val="auto"/>
        </w:rPr>
      </w:pPr>
      <w:r>
        <w:rPr>
          <w:rFonts w:ascii="Arial" w:cs="Arial" w:eastAsia="Arial" w:hAnsi="Arial"/>
          <w:sz w:val="17"/>
          <w:szCs w:val="17"/>
          <w:color w:val="auto"/>
        </w:rPr>
        <w:t>Contracts that contain multiple performance obligations require an allocation of the transaction price to each performance obligation based on each performance obligation’s relative standalone selling price. As access to content is not considered distinct from the Udemy platform hosting services, the transaction price is allocated to a single performance obligation.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Recognize revenue when or as performance obligations are satisfied</w:t>
      </w:r>
    </w:p>
    <w:p>
      <w:pPr>
        <w:spacing w:after="0" w:line="103" w:lineRule="exact"/>
        <w:rPr>
          <w:rFonts w:ascii="Arial" w:cs="Arial" w:eastAsia="Arial" w:hAnsi="Arial"/>
          <w:sz w:val="18"/>
          <w:szCs w:val="18"/>
          <w:color w:val="auto"/>
        </w:rPr>
      </w:pPr>
    </w:p>
    <w:p>
      <w:pPr>
        <w:ind w:left="1000" w:right="60"/>
        <w:spacing w:after="0" w:line="237" w:lineRule="auto"/>
        <w:rPr>
          <w:rFonts w:ascii="Arial" w:cs="Arial" w:eastAsia="Arial" w:hAnsi="Arial"/>
          <w:sz w:val="18"/>
          <w:szCs w:val="18"/>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We have a stand ready obligation to deliver our services continually throughout the requisite contract period, which is either lifetime access for consumer customers or the contractual subscription term for UB and consumer subscription customers. As such, we recognize revenue on a straight-line basis as we satisfy our performance obligation, using an estimated service period for individual consumers enrollments and the contractual subscription term for UB and consumer subscription customers.</w:t>
      </w:r>
    </w:p>
    <w:p>
      <w:pPr>
        <w:spacing w:after="0" w:line="20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Other than the circumstances noted below, no significant judgment has historically been required in determining the amount and timing of revenue from our contracts with customers.</w:t>
      </w:r>
    </w:p>
    <w:p>
      <w:pPr>
        <w:spacing w:after="0" w:line="179"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i w:val="1"/>
          <w:iCs w:val="1"/>
          <w:color w:val="auto"/>
        </w:rPr>
        <w:t>Principal vs. agent</w:t>
      </w:r>
      <w:r>
        <w:rPr>
          <w:rFonts w:ascii="Arial" w:cs="Arial" w:eastAsia="Arial" w:hAnsi="Arial"/>
          <w:sz w:val="18"/>
          <w:szCs w:val="18"/>
          <w:color w:val="auto"/>
        </w:rPr>
        <w:t>—In order to determine if consumer and enterprise revenues should be reported gross or net of payments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instructors, we evaluated whether Udemy acts as the principal in sales of its online course offerings. An entity is the principal if it controls a good or service before it is transferred to the end customer. Key indicators that we evaluated in determining gross versus net treatment included but are not limited to:</w:t>
      </w:r>
    </w:p>
    <w:p>
      <w:pPr>
        <w:spacing w:after="0" w:line="104" w:lineRule="exact"/>
        <w:rPr>
          <w:sz w:val="20"/>
          <w:szCs w:val="20"/>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nature of our promise to our customer, as well as the distinct performance obligation identified;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parties to the transaction;</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to the end customer;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which party has inventory risk before the specified good or service has been transferred to the end customer;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1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Based on an evaluation of the above indicators, we have determined that Udemy is the principal to learners who purchase access to online course content via our consumer or UB offerings. Udemy controls the promised goods or services (i.e., access to course content via the Udemy platform) before it is transferred to the customer and is primarily responsible for fulfillment with respect to delivering access to course content. Udemy is the entity which licenses content to learners as the agreements with our instructors grant us the right to sub-license content to our learners at our discretion. We also have substantial discretion to determine the pricing of our offerings. Therefore, we report the gross purchase price paid by the customer related to these arrangements in the revenues caption of the consolidated statements of operations, and the payments paid to instructors are reported within cost of revenues.</w:t>
      </w:r>
    </w:p>
    <w:p>
      <w:pPr>
        <w:spacing w:after="0" w:line="18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Estimated service term for consumer single course purchases</w:t>
      </w:r>
      <w:r>
        <w:rPr>
          <w:rFonts w:ascii="Arial" w:cs="Arial" w:eastAsia="Arial" w:hAnsi="Arial"/>
          <w:sz w:val="18"/>
          <w:szCs w:val="18"/>
          <w:color w:val="auto"/>
        </w:rPr>
        <w:t>—We consider a variety of data points when determining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for a consumer learner’s consumption of a single course purchase, including, the weighted-average number of days between a learner’s first and last day that content is accessed on the platform, the average total hours consumed, the average number of days in which learner activity stabilizes, and the weighted-average number of days between learners’ enrollment and the last date the course content is accessed online. We also consider known online trends, the service periods of historical course content on our online platform, and, to the extent publicly available, the service periods of our competitors’ content that is similar in nature to Udemy’s. We believe that considering these factors enables us to determine the best representation of the time period during which our consumer learners access the online course content on our platform and therefore the service period over which we provide services to our learners. Determining the estimated service period is subjective and requires management’s judgment. Future usage patterns may differ from historical usage patterns, and therefore the estimated service period may change in the future. The estimated service period for single course purchase transactions is four months from the date of enrollment.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 xml:space="preserve">The fair value of the common stock underlying our stock-based awards has historically been determined by our board of directors, with input from management and corroboration from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Arial" w:cs="Arial" w:eastAsia="Arial" w:hAnsi="Arial"/>
          <w:sz w:val="18"/>
          <w:szCs w:val="18"/>
          <w:i w:val="1"/>
          <w:iCs w:val="1"/>
          <w:color w:val="auto"/>
        </w:rPr>
        <w:t>Valuation of Privately-Held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Equity Securities Issued as Compensation</w:t>
      </w:r>
      <w:r>
        <w:rPr>
          <w:rFonts w:ascii="Arial" w:cs="Arial" w:eastAsia="Arial" w:hAnsi="Arial"/>
          <w:sz w:val="18"/>
          <w:szCs w:val="18"/>
          <w:color w:val="auto"/>
        </w:rPr>
        <w:t>, our board of directors exercised reasonable judgment and considered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and subjective factors to determine the best estimate of the fair value of our common stock at each grant date. These factors include:</w:t>
      </w:r>
    </w:p>
    <w:p>
      <w:pPr>
        <w:spacing w:after="0" w:line="108" w:lineRule="exact"/>
        <w:rPr>
          <w:sz w:val="20"/>
          <w:szCs w:val="20"/>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117" w:lineRule="exact"/>
        <w:rPr>
          <w:rFonts w:ascii="Arial" w:cs="Arial" w:eastAsia="Arial" w:hAnsi="Arial"/>
          <w:sz w:val="18"/>
          <w:szCs w:val="18"/>
          <w:color w:val="auto"/>
        </w:rPr>
      </w:pPr>
    </w:p>
    <w:p>
      <w:pPr>
        <w:ind w:left="760" w:right="740" w:hanging="320"/>
        <w:spacing w:after="0" w:line="246"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prices paid for redeemable convertible preferred stock sold to third-party investors by us and prices paid in secondary transactions of common stock, including any tender offers;</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lack of marketability inherent in our common stock;</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history and the introduction of new offerings;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760" w:right="680" w:hanging="320"/>
        <w:spacing w:after="0" w:line="246"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a merger, or acquisition of our company given prevailing market conditions;</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operational and financial performance of comparable publicly traded companies;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U.S. and global capital market conditions and overall economic conditions.</w:t>
      </w:r>
    </w:p>
    <w:p>
      <w:pPr>
        <w:spacing w:after="0" w:line="212"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For valuations conducted prior to March 31, 2021, the enterprise value of our business was primarily estimated by reference to the closest round of equity financing preceding the date of the valuation. Valuations conducted as of March 31, 2021, and onward utilized multiple valuation approaches, including a market approach, income approach, and a market transaction method approach considering secondary stock sale or tender offer transactions in our common stock.</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 market approach relies on an analysis of publicly traded companies similar in industry and/or business model to us. This methodology uses guideline companies to develop relevant market multiples and ratios for key metrics (such as revenue), which are then applied to the corresponding financial metrics to derive enterprise value. Since no two companies are perfectly comparable, premiums or discounts may also be applied to the metrics, for example, if its position in its industry is significantly different from the position of the guideline companies. An income approach estimates enterprise value based on the estimated present value of future cash flows that the business is expected to generate over its remaining life. The estimated present value is calculated using a discount rate reflective of the risks associated with an investment in a company in a similar industry or having similar operational and growth characteristics.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For valuations conducted prior to March 31, 2021, the enterprise value of our business as determined above was then allocated to common stock using the option-pricing method, or the OPM, which models each class of stock as a call option with a unique claim on our assets. Valuations conducted as of March 31, 2021, and onward used a combination of the OPM and probability weighted expected return method, or the PWERM, to allocate the enterprise value of our business among the various classes of stock. Under the PWERM, the value of a company’s particular equity class is estimated based on an analysis of future values for the entire enterprise assuming discrete future outcomes, such as an initial public offering, or IPO, of our common stock and other non-IPO outcomes. Share value is based upon the probability-weighted present value of these expected outcomes, as well as the rights of each class of preferred and common stock. Determining the fair value of the enterprise using the PWERM requires us to develop assumptions and estimates for both the probability of an IPO liquidity event and non-IPO outcomes, as well as the values we expect those outcomes could yield.</w:t>
      </w:r>
    </w:p>
    <w:p>
      <w:pPr>
        <w:spacing w:after="0" w:line="20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addition, we considered any secondary transactions and tender offers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nature of the transactions, the level of company involvement in the transactions,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For valuations after the closing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We calculate the fair value of employee stock-based awards on the date of grant using the Black-Scholes option-pricing model. The expense is recognized over the service period for awards expected to vest. We recognize forfeitures as they occur.</w:t>
      </w:r>
    </w:p>
    <w:p>
      <w:pPr>
        <w:spacing w:after="0" w:line="1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estimate the fair value of stock-based compensation utilizing the Black-Scholes option-pricing model, which is dependent upon several variables, such as the expected option term, expected volatility of our stock price over the expected term, expected risk-free interest rate over the expected option term, and expected dividend yield rate over the expected option term. These amounts are estimates and, thus, may not be reflective of actual future results, nor amounts ultimately realized by recipients of these grants. We recognize compensation expense on a straight-line basis over the requisite vesting period for each award.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A summary of the weighted-average assumptions we utilized to record compensation expenses for stock options granted during the years ended December 31, 2019 and 2020, and the six months ended June 30, 2020 and 2021 is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2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24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720" w:type="dxa"/>
            <w:vAlign w:val="bottom"/>
            <w:tcBorders>
              <w:bottom w:val="single" w:sz="8" w:color="DDDDDD"/>
            </w:tcBorders>
          </w:tcPr>
          <w:p>
            <w:pPr>
              <w:spacing w:after="0"/>
              <w:rPr>
                <w:sz w:val="13"/>
                <w:szCs w:val="13"/>
                <w:color w:val="auto"/>
              </w:rPr>
            </w:pPr>
          </w:p>
        </w:tc>
        <w:tc>
          <w:tcPr>
            <w:tcW w:w="88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Risk-free interest rate</w:t>
            </w:r>
          </w:p>
        </w:tc>
        <w:tc>
          <w:tcPr>
            <w:tcW w:w="88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2.2%</w:t>
            </w:r>
          </w:p>
        </w:tc>
        <w:tc>
          <w:tcPr>
            <w:tcW w:w="122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auto"/>
              </w:rPr>
              <w:t>0.5%</w:t>
            </w:r>
          </w:p>
        </w:tc>
        <w:tc>
          <w:tcPr>
            <w:tcW w:w="136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0.6%</w:t>
            </w:r>
          </w:p>
        </w:tc>
        <w:tc>
          <w:tcPr>
            <w:tcW w:w="11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0.9%</w:t>
            </w: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Expected volatility</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48.1%</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56.8%</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54.3%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59.9%</w:t>
            </w:r>
          </w:p>
        </w:tc>
      </w:tr>
      <w:tr>
        <w:trPr>
          <w:trHeight w:val="216"/>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Expected life (in years)</w:t>
            </w:r>
          </w:p>
        </w:tc>
        <w:tc>
          <w:tcPr>
            <w:tcW w:w="880" w:type="dxa"/>
            <w:vAlign w:val="bottom"/>
            <w:shd w:val="clear" w:color="auto" w:fill="DDDDDD"/>
          </w:tcPr>
          <w:p>
            <w:pPr>
              <w:spacing w:after="0"/>
              <w:rPr>
                <w:sz w:val="18"/>
                <w:szCs w:val="18"/>
                <w:color w:val="auto"/>
              </w:rPr>
            </w:pPr>
          </w:p>
        </w:tc>
        <w:tc>
          <w:tcPr>
            <w:tcW w:w="740" w:type="dxa"/>
            <w:vAlign w:val="bottom"/>
            <w:shd w:val="clear" w:color="auto" w:fill="DDDDDD"/>
          </w:tcPr>
          <w:p>
            <w:pPr>
              <w:jc w:val="right"/>
              <w:ind w:right="328"/>
              <w:spacing w:after="0"/>
              <w:rPr>
                <w:sz w:val="20"/>
                <w:szCs w:val="20"/>
                <w:color w:val="auto"/>
              </w:rPr>
            </w:pPr>
            <w:r>
              <w:rPr>
                <w:rFonts w:ascii="Arial" w:cs="Arial" w:eastAsia="Arial" w:hAnsi="Arial"/>
                <w:sz w:val="14"/>
                <w:szCs w:val="14"/>
                <w:color w:val="auto"/>
              </w:rPr>
              <w:t>6.0</w:t>
            </w:r>
          </w:p>
        </w:tc>
        <w:tc>
          <w:tcPr>
            <w:tcW w:w="1220" w:type="dxa"/>
            <w:vAlign w:val="bottom"/>
            <w:shd w:val="clear" w:color="auto" w:fill="DDDDDD"/>
          </w:tcPr>
          <w:p>
            <w:pPr>
              <w:jc w:val="right"/>
              <w:ind w:right="328"/>
              <w:spacing w:after="0"/>
              <w:rPr>
                <w:sz w:val="20"/>
                <w:szCs w:val="20"/>
                <w:color w:val="auto"/>
              </w:rPr>
            </w:pPr>
            <w:r>
              <w:rPr>
                <w:rFonts w:ascii="Arial" w:cs="Arial" w:eastAsia="Arial" w:hAnsi="Arial"/>
                <w:sz w:val="14"/>
                <w:szCs w:val="14"/>
                <w:color w:val="auto"/>
              </w:rPr>
              <w:t>5.9</w:t>
            </w:r>
          </w:p>
        </w:tc>
        <w:tc>
          <w:tcPr>
            <w:tcW w:w="1360" w:type="dxa"/>
            <w:vAlign w:val="bottom"/>
            <w:shd w:val="clear" w:color="auto" w:fill="DDDDDD"/>
          </w:tcPr>
          <w:p>
            <w:pPr>
              <w:jc w:val="right"/>
              <w:ind w:right="388"/>
              <w:spacing w:after="0"/>
              <w:rPr>
                <w:sz w:val="20"/>
                <w:szCs w:val="20"/>
                <w:color w:val="auto"/>
              </w:rPr>
            </w:pPr>
            <w:r>
              <w:rPr>
                <w:rFonts w:ascii="Arial" w:cs="Arial" w:eastAsia="Arial" w:hAnsi="Arial"/>
                <w:sz w:val="14"/>
                <w:szCs w:val="14"/>
                <w:color w:val="auto"/>
              </w:rPr>
              <w:t>5.8</w:t>
            </w:r>
          </w:p>
        </w:tc>
        <w:tc>
          <w:tcPr>
            <w:tcW w:w="110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6.0</w:t>
            </w:r>
          </w:p>
        </w:tc>
      </w:tr>
      <w:tr>
        <w:trPr>
          <w:trHeight w:val="177"/>
        </w:trPr>
        <w:tc>
          <w:tcPr>
            <w:tcW w:w="6600" w:type="dxa"/>
            <w:vAlign w:val="bottom"/>
            <w:gridSpan w:val="2"/>
          </w:tcPr>
          <w:p>
            <w:pPr>
              <w:spacing w:after="0"/>
              <w:rPr>
                <w:sz w:val="20"/>
                <w:szCs w:val="20"/>
                <w:color w:val="auto"/>
              </w:rPr>
            </w:pPr>
            <w:r>
              <w:rPr>
                <w:rFonts w:ascii="Arial" w:cs="Arial" w:eastAsia="Arial" w:hAnsi="Arial"/>
                <w:sz w:val="14"/>
                <w:szCs w:val="14"/>
                <w:color w:val="auto"/>
              </w:rPr>
              <w:t>Expected dividend yield</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assumptions above are estimated as follows. Each of these assumptions is subjective and generally requires significant judgment to determine.</w:t>
      </w:r>
    </w:p>
    <w:p>
      <w:pPr>
        <w:spacing w:after="0" w:line="71" w:lineRule="exact"/>
        <w:rPr>
          <w:sz w:val="20"/>
          <w:szCs w:val="20"/>
          <w:color w:val="auto"/>
        </w:rPr>
      </w:pPr>
    </w:p>
    <w:p>
      <w:pPr>
        <w:ind w:left="560" w:right="300"/>
        <w:spacing w:after="0" w:line="250"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—Because our common stock is not yet publicly traded, the fair value was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a committee thereof. The board of directors or committee considers numerous objective and subjective factors to determine the fair value of our common stock each time awards are approved. Refer to “—Common stock valuations” above.</w:t>
      </w:r>
    </w:p>
    <w:p>
      <w:pPr>
        <w:spacing w:after="0" w:line="69" w:lineRule="exact"/>
        <w:rPr>
          <w:sz w:val="20"/>
          <w:szCs w:val="20"/>
          <w:color w:val="auto"/>
        </w:rPr>
      </w:pPr>
    </w:p>
    <w:p>
      <w:pPr>
        <w:ind w:left="560" w:right="120"/>
        <w:spacing w:after="0" w:line="24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our options represents the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have elected to use the midpoint of the stock options vesting term and contractual expiration period to compute the expected term, as we does not have sufficient historical information to develop reasonable expectations about future exercise patterns and post-vesting employment termination behavior.</w:t>
      </w:r>
    </w:p>
    <w:p>
      <w:pPr>
        <w:spacing w:after="0" w:line="73" w:lineRule="exact"/>
        <w:rPr>
          <w:sz w:val="20"/>
          <w:szCs w:val="20"/>
          <w:color w:val="auto"/>
        </w:rPr>
      </w:pPr>
    </w:p>
    <w:p>
      <w:pPr>
        <w:ind w:left="560" w:right="86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U.S. Treasury notes with maturities approximately equal to the option’s expected term.</w:t>
      </w:r>
    </w:p>
    <w:p>
      <w:pPr>
        <w:spacing w:after="0" w:line="52" w:lineRule="exact"/>
        <w:rPr>
          <w:sz w:val="20"/>
          <w:szCs w:val="20"/>
          <w:color w:val="auto"/>
        </w:rPr>
      </w:pPr>
    </w:p>
    <w:p>
      <w:pPr>
        <w:ind w:left="560" w:right="260"/>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we do not have a trading history of our common stock, we estimated volatility for option grants by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the average historical volatility of a peer group of companies for the period immediately preceding the option grant for a term that is approximately equal to the options’ expected term.</w:t>
      </w:r>
    </w:p>
    <w:p>
      <w:pPr>
        <w:spacing w:after="0" w:line="69" w:lineRule="exact"/>
        <w:rPr>
          <w:sz w:val="20"/>
          <w:szCs w:val="20"/>
          <w:color w:val="auto"/>
        </w:rPr>
      </w:pPr>
    </w:p>
    <w:p>
      <w:pPr>
        <w:ind w:left="560" w:right="300"/>
        <w:spacing w:after="0" w:line="26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was assumed to be zero as we have never paid dividends and have no current plans to do</w:t>
      </w:r>
      <w:r>
        <w:rPr>
          <w:rFonts w:ascii="Arial" w:cs="Arial" w:eastAsia="Arial" w:hAnsi="Arial"/>
          <w:sz w:val="18"/>
          <w:szCs w:val="18"/>
          <w:i w:val="1"/>
          <w:iCs w:val="1"/>
          <w:color w:val="auto"/>
        </w:rPr>
        <w:t xml:space="preserve"> </w:t>
      </w:r>
      <w:r>
        <w:rPr>
          <w:rFonts w:ascii="Arial" w:cs="Arial" w:eastAsia="Arial" w:hAnsi="Arial"/>
          <w:sz w:val="18"/>
          <w:szCs w:val="18"/>
          <w:color w:val="auto"/>
        </w:rPr>
        <w:t>so.</w:t>
      </w:r>
    </w:p>
    <w:p>
      <w:pPr>
        <w:spacing w:after="0" w:line="17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estimates, which could materially impact our future stock-based compensation expense.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Instructor withholding tax obligations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conduct operations in many tax jurisdictions throughout the United States and the rest of the world. We have an obligation to comply with information reporting and tax withholding requirements with regards to certain payments made to our U.S. and non-U.S. instructors. Under U.S. federal income tax rules, in the case where we withhold less than the correct amount of tax, we are liable for the correct amount that we were required to withhold, plus interest and potential penalties. We may be entitled to relief on certain payments if we can obtain documentation (e.g., taxpayer identification forms) from instructors establishing that the instructor payee qualifies for reduced withholding tax rates, or that the instructor payee reported the payments and paid the corresponding taxes owed.</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Beginning in March 2020, we began collecting appropriate taxpayer identification forms from our instructors, assessing whether the forms justified a reduced rate of withholding or withholding exemption, and remitting withholding tax payments to the IRS where required. Prior to March 2020, we had not obtained appropriate taxpayer identification forms from instructors, nor remitted applicable tax withholding amounts to the IRS where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required. In accordance with GAAP, we recorded a provision for our tax exposure when it was both probable that a liability had been incurred and the amount of the exposure could be reasonably estimated. Total accrued obligations related to withholding taxes, including estimated interest, were $20.9 million and $22.2 million as of December 31, 2019 and 2020, respectively, and $22.5 million as of June 30, 2021. Changes to the withholding tax reserve and estimated interest are recorded in general and administrative expense and interest income (expense), respectively, in our consolidated statements of operations.</w:t>
      </w:r>
    </w:p>
    <w:p>
      <w:pPr>
        <w:spacing w:after="0" w:line="20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Evaluating potential outcomes for instructor withholding taxes is inherently uncertain and requires us to utilize various judgments, assumptions and estimates in determining our reserves. The instructor withholding provision estimate includes several key assumptions including, but not limited to, the tax characterization of our payments made to instructors, the historical lookback practices and scoping precedents of the IRS, the methods for sourcing of instructor payments to U.S. and non-U.S. jurisdictions, and management’s estimate of the relief on certain instructor payments to which we will be entitled. Accordingly, the ultimate resolution of our instructor withholding tax obligations may be greater or less than the amounts we have reserved.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income tax expense and deferred tax assets and liabilities, including evaluating uncertainties in the application of accounting principles and complex tax laws.</w:t>
      </w:r>
    </w:p>
    <w:p>
      <w:pPr>
        <w:spacing w:after="0" w:line="20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utilize the asset and liability method under which deferred tax assets and liabilities arise from the temporary differences between the tax basis of an asset or liability and our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See Note 2 to our consolidated financial statements included elsewhere in this prospectus for information regarding recently issued accounting pronouncements.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JOBS Act transition period</w:t>
      </w:r>
    </w:p>
    <w:p>
      <w:pPr>
        <w:spacing w:after="0" w:line="13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6"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As of June 30, 2021, we had $163.2 million of cash and cash equivalents, which include on demand deposits and amounts in transit from certain payment processors for credit and debit card transactions. In addition, we had $2.9 million of restricted cash as of June 30, 2021, primarily due to the outstanding letter of credit related to the operating lease agreement for our corporate headquarters. Our cash and cash equivalents are held for working capital purposes. We did not hold any marketable securities or carry any fixed or variable rate debt as of and during 2020 or as of and during the six months ended June 30, 2021. Given the above facts and circumstances, hypothetical changes in interest rates of 10% would not result in a material impact to our consolidated financial statements.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reporting currency and functional currency of our foreign subsidiaries is the U.S. dollar. Fluctuations in foreign currency exchange rates may cause us to recognize transaction gains and losses in our consolidated statement of operations. To date, we have not entered into any hedging arrangements with respect to foreign currency risk or other derivative financial instruments, although we may choose to do so in the future. As such, a hypothetical 10% increase or decrease in current exchange rates could result in additional income or expense of $6.0 million in 2020. A hypothetical 10% increase or decrease in current exchange rates would not have had a material impact on income or expense for the six months ended June 30, 2021.</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Letter from Eren Bali, Co-Founder</w:t>
      </w:r>
    </w:p>
    <w:p>
      <w:pPr>
        <w:spacing w:after="0" w:line="251"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seeds of Udemy were first planted in the apricot orchards of rural Turkey. I know that sounds fanciful, but it happens to be the truth. I was born in Turkey and grew up in a small village in Malatya, where apricot farming was the main industry. My parents were idealistic teachers who moved home to the village when no other teachers wanted to work there. The conditions were less than ideal: my mother rotated between teaching five different grades and also tended to the maintenance of the one-room schoolhouse, and many of my classmates walked miles to get to school. Despite these circumstances, all of the kids, including my sisters and me, eagerly headed to school each day.</w:t>
      </w:r>
    </w:p>
    <w:p>
      <w:pPr>
        <w:spacing w:after="0" w:line="20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Like the other kids, I helped with apricot farming and herding animals in the summers. I also began developing a serious interest in mathematics and chess. It was an obsession really, especially chess, and I would spend hours playing with the wooden chess pieces my father made for me.</w:t>
      </w:r>
    </w:p>
    <w:p>
      <w:pPr>
        <w:spacing w:after="0" w:line="2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There is an incredible amount of talent everywhere in the world, but not enough opportunities for everyone to realize their potential. When you live in a small village far from any city or university, there are limits to what you can learn from people nearby. That was the case for me, and it only changed because my parents bought a used computer and internet access for my older sister. Suddenly I could tap into the world outside our village, and soon I was searching for math problems online. These problems were on a completely different level from the math problems at my school, so I had to work on them by myself and then try to find help from the online math community. It took effort, not to mention resolve, as a number of those who responded to my early efforts were less than kind. But others, even some professional mathematicians, were supportive, and I kept at it. Eventually I won a national mathematics competition and then a silver medal at the International Math Olympiad.</w:t>
      </w:r>
    </w:p>
    <w:p>
      <w:pPr>
        <w:spacing w:after="0" w:line="208"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Online learning profoundly changed my life, and I committed myself to creating a way for people everywhere to open up new possibilities for themselves and reach their full potential. While at university, I found myself thinking about the world’s experts, my small village, and how knowledge has historically been reserved for the few. Would it not be powerful to share that knowledge with everyone? What if we could fundamentally change access to expertise by tapping the internet’s vast potential?</w:t>
      </w:r>
    </w:p>
    <w:p>
      <w:pPr>
        <w:spacing w:after="0" w:line="20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With the goal of realizing this dream, I moved to the United States, a place where both my passion for learning and my entrepreneurial spirit could flourish. In 2010, with my like-minded co-founders, Oktay Caglar and Gagan Biyani, we founded Udemy. To be sure, there were those who doubted that a marketplace approach to learning would work or that we could make learning viable outside a traditional educational setting. But we remained steadfast in our conviction that those who possess knowledge want to share it with those seeking knowledge. The first courses appeared on our site in 2011, and within three years we had more than a million learners.</w:t>
      </w:r>
    </w:p>
    <w:p>
      <w:pPr>
        <w:spacing w:after="0" w:line="20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Udemy is now a global destination for learning and teaching online. In scale and scope—millions of learners, thousands of instructors, thousands of enterprise customers—it far exceeds my early dreams. Even so, I believe we are only just beginning. When I hear from those whose lives were forever changed by their experience learning or teaching on Udemy, I’m reminded of my own journey from a small village in Turkey to Silicon Valley. Believe me when I say that there truly is no limit to what people can accomplish when they can access the world’s knowledge and pursue their dreams.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146050</wp:posOffset>
            </wp:positionV>
            <wp:extent cx="986155" cy="351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861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Eren Bali</w:t>
      </w:r>
    </w:p>
    <w:p>
      <w:pPr>
        <w:jc w:val="right"/>
        <w:spacing w:after="0" w:line="234" w:lineRule="auto"/>
        <w:rPr>
          <w:sz w:val="20"/>
          <w:szCs w:val="20"/>
          <w:color w:val="auto"/>
        </w:rPr>
      </w:pPr>
      <w:r>
        <w:rPr>
          <w:rFonts w:ascii="Arial" w:cs="Arial" w:eastAsia="Arial" w:hAnsi="Arial"/>
          <w:sz w:val="18"/>
          <w:szCs w:val="18"/>
          <w:color w:val="auto"/>
        </w:rPr>
        <w:t>Co-Founder, Udemy,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Udemy, Inc. Board of Directors</w:t>
      </w:r>
    </w:p>
    <w:p>
      <w:pPr>
        <w:spacing w:after="0" w:line="147"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Business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Our mission is to create new possibilities for people and organizations everywhere by connecting them to the knowledge and skills they need to succeed in a changing world. Our marketplace platform, with thousands of up-to-date courses in dozens of languages, provides the tools that learners, instructors, and organizations need to achieve their goals and reach their full potential.</w:t>
      </w:r>
    </w:p>
    <w:p>
      <w:pPr>
        <w:spacing w:after="0" w:line="2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and make it available across traditional barriers such as geography and social demographics.</w:t>
      </w:r>
    </w:p>
    <w:p>
      <w:pPr>
        <w:spacing w:after="0" w:line="205"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Udemy operates a marketplace platform at the center of a vibrant knowledge network. We have created a new approach to learning that allows real-world experts to continuously create and update relevant content to our platform, where it becomes easily accessible to learners globally.</w:t>
      </w:r>
    </w:p>
    <w:p>
      <w:pPr>
        <w:spacing w:after="0" w:line="20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Our platform provides over 44 million learners with access to over 183,000 courses in 75 languages and over 180 countries. We define learners as people who have engaged with content through Udemy. They consist of individuals who purchase or enroll for free in single courses or subscriptions through our direct-to-consumer offering as well as those who learn through UB, our employer-sponsored subscription offering. Since inception, more than 73 million users have registered with Udemy.</w:t>
      </w:r>
    </w:p>
    <w:p>
      <w:pPr>
        <w:spacing w:after="0" w:line="20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Our over 65,000 instructors, supported by our platform’s course feedback and analytical tools, create high quality content in online learning—content that makes up our consumer and enterprise course catalogs. These instructors are expert industry practitioners for whom Udemy enables broad audience reach, and our aligned incentive model allows them to share in the economic upside of the course content they contribute because our instructor payments for course content are proportional to the sales of such course content on our platform.</w:t>
      </w:r>
    </w:p>
    <w:p>
      <w:pPr>
        <w:spacing w:after="0" w:line="2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Udemy is a two-sided marketplace where our instructors develop content to meet learner demand. Courses can be accessed through our direct-to-consumer or UB offerings. Courses on both offerings address learning objectives such as reskilling or upskilling in technology and business, enhancing soft skills, and personal development. Our catalog offers content in 75 languages spoken by over 6 billion people worldwide, including 1.3 billion English speakers, 1.1 billion Mandarin Chinese speakers, 600 million Hindi speakers, and 543 million Spanish speakers. We analyze data gathered to better determine our learners’ needs, helping us match individuals with relevant courses and, within UB, learning paths for a more personalized experience. Our learners also receive access to interactive learning tools such as quizzes, exercises, and instructor questions-and-answers, or Q&amp;A.</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UB offering helps over 8,600 global organizations, defined as companies of all sizes, nonprofits, and government agencies, whom we refer to as UB customers or enterprise customers, support employees’ professional growth and personal development through learning. The UB course catalog reflects the continuous curation of our broader platform content; we select for the most engaging, relevant, and high-quality courses that best fit the requirements of organizations. Our rigorous curation process considers factors such as learner feedback and ratings, topic relevance, content quality, and instructor engagement.</w:t>
      </w:r>
    </w:p>
    <w:p>
      <w:pPr>
        <w:spacing w:after="0" w:line="20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business has experienced rapid growth. From 2019 to 2020, our revenue grew 55.6% to $429.9 million, which includes 103.5% growth in UB revenue, although we incurred net losses of $69.7 million and $77.6 million during 2019 and 2020, respectively. From the six months ended June 30, 2020 to the six months ended June 30, 2021, our revenue grew 24.5% to $ 250.6 million, which includes 78.7% growth in UB revenue, although we incurred net losses of $ 52.5 million and $29.4 million during the six months ended June 30, 2020 and 2021, respectively. As of December 31, 2020 and June 30, 2021, we had an accumulated deficit of $378.5 million and $407.9 million, respectively.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Industry</w:t>
      </w:r>
    </w:p>
    <w:p>
      <w:pPr>
        <w:spacing w:after="0" w:line="13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As technological advancements, new fields of study, and novel industries render existing skill sets obsolete, individuals and organizations alike struggle to keep their expertise up to date. Yet continuous proficiency in the latest technologies has become a prerequisite in many fields. The need for a new model for learning and sharing skills is urgent. According to the World Economic Forum, companies surveyed estimate that around 40% of workers will require short-cycle reskilling (i.e., six months or less), and 94% of business leaders report that they expect employees to pick up new skills on the job.</w:t>
      </w:r>
    </w:p>
    <w:p>
      <w:pPr>
        <w:spacing w:after="0" w:line="20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COVID-19 pandemic has further accelerated the need for skills training. According to a report by the World Economic Forum, 84% of employers surveyed report that the COVID-19 pandemic has increased the need to digitize. Adapting employees’ skills and roles to the post-pandemic ways of working is crucial to building operating-model resilience. The shift to online learning has been ongoing for years, and we expect this shift to continue to accelerate.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Unfortunately, many of today’s options have a number of shortcomings:</w:t>
      </w:r>
    </w:p>
    <w:p>
      <w:pPr>
        <w:spacing w:after="0" w:line="99" w:lineRule="exact"/>
        <w:rPr>
          <w:sz w:val="20"/>
          <w:szCs w:val="20"/>
          <w:color w:val="auto"/>
        </w:rPr>
      </w:pPr>
    </w:p>
    <w:p>
      <w:pPr>
        <w:ind w:left="760" w:right="140" w:hanging="320"/>
        <w:spacing w:after="0" w:line="241"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Relevance</w:t>
      </w:r>
      <w:r>
        <w:rPr>
          <w:rFonts w:ascii="Arial" w:cs="Arial" w:eastAsia="Arial" w:hAnsi="Arial"/>
          <w:sz w:val="18"/>
          <w:szCs w:val="18"/>
          <w:color w:val="auto"/>
        </w:rPr>
        <w:t>: Traditional learning solutions rely on the so-called publisher model, which involves a lengthy, centralized,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expensive “top-down” development process by multiple levels of editors and reviewers. We believe a top-down publisher model disincentivizes continuous course creation or improvement post-publication because it limits the speed of course development, instructors’ creative oversight over their content, and the cost-effectiveness of localized content production. Yet the importance of timely access to relevant skills training will only increase. According to the World Economic Forum, 97 million new roles may emerge by 2025.</w:t>
      </w:r>
    </w:p>
    <w:p>
      <w:pPr>
        <w:spacing w:after="0" w:line="89" w:lineRule="exact"/>
        <w:rPr>
          <w:rFonts w:ascii="Arial" w:cs="Arial" w:eastAsia="Arial" w:hAnsi="Arial"/>
          <w:sz w:val="18"/>
          <w:szCs w:val="18"/>
          <w:color w:val="auto"/>
        </w:rPr>
      </w:pPr>
    </w:p>
    <w:p>
      <w:pPr>
        <w:ind w:left="760" w:right="160" w:hanging="320"/>
        <w:spacing w:after="0" w:line="242"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Breadth: </w:t>
      </w:r>
      <w:r>
        <w:rPr>
          <w:rFonts w:ascii="Arial" w:cs="Arial" w:eastAsia="Arial" w:hAnsi="Arial"/>
          <w:sz w:val="18"/>
          <w:szCs w:val="18"/>
          <w:color w:val="auto"/>
        </w:rPr>
        <w:t>Due to the slower speed and higher costs associated with the publisher model, existing solutions tend to limit content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popular learning areas such as technical skills, creative skills, or personal development strategies. As a result, these training options may lack the content breadth, within topics and between topics, and the instructor diversity to meet the interdisciplinary objectives of modern learners. Existing solutions may not adequately address continuous and multidisciplinary learning needs.</w:t>
      </w:r>
    </w:p>
    <w:p>
      <w:pPr>
        <w:spacing w:after="0" w:line="90" w:lineRule="exact"/>
        <w:rPr>
          <w:rFonts w:ascii="Arial" w:cs="Arial" w:eastAsia="Arial" w:hAnsi="Arial"/>
          <w:sz w:val="18"/>
          <w:szCs w:val="18"/>
          <w:color w:val="auto"/>
        </w:rPr>
      </w:pPr>
    </w:p>
    <w:p>
      <w:pPr>
        <w:jc w:val="both"/>
        <w:ind w:left="760" w:right="180" w:hanging="320"/>
        <w:spacing w:after="0" w:line="250"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Quality</w:t>
      </w:r>
      <w:r>
        <w:rPr>
          <w:rFonts w:ascii="Arial" w:cs="Arial" w:eastAsia="Arial" w:hAnsi="Arial"/>
          <w:sz w:val="18"/>
          <w:szCs w:val="18"/>
          <w:color w:val="auto"/>
        </w:rPr>
        <w:t>: While large volumes of digital learning content exist globally, the quality of this content can be difficult to ascertain. Often</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providers do not provide quality indicators such as ratings, reviews, and past performance. The modern learner needs an efficient way to access high-quality content.</w:t>
      </w:r>
    </w:p>
    <w:p>
      <w:pPr>
        <w:spacing w:after="0" w:line="82" w:lineRule="exact"/>
        <w:rPr>
          <w:rFonts w:ascii="Arial" w:cs="Arial" w:eastAsia="Arial" w:hAnsi="Arial"/>
          <w:sz w:val="18"/>
          <w:szCs w:val="18"/>
          <w:color w:val="auto"/>
        </w:rPr>
      </w:pPr>
    </w:p>
    <w:p>
      <w:pPr>
        <w:ind w:left="760" w:right="120" w:hanging="320"/>
        <w:spacing w:after="0" w:line="245"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Existing solutions have proven ineffective at operating on a global scale. Many rely primarily on in-person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difficult to reproduce at scale and fundamentally limited by an instructor’s time and physical resources. Existing solutions have also been slow to leverage technology to expand their reach. Other digital solutions, despite being more scalable than in-person training, have also struggled to provide local content for international communities.</w:t>
      </w:r>
    </w:p>
    <w:p>
      <w:pPr>
        <w:spacing w:after="0" w:line="86" w:lineRule="exact"/>
        <w:rPr>
          <w:rFonts w:ascii="Arial" w:cs="Arial" w:eastAsia="Arial" w:hAnsi="Arial"/>
          <w:sz w:val="18"/>
          <w:szCs w:val="18"/>
          <w:color w:val="auto"/>
        </w:rPr>
      </w:pPr>
    </w:p>
    <w:p>
      <w:pPr>
        <w:ind w:left="760" w:right="640" w:hanging="320"/>
        <w:spacing w:after="0" w:line="267"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Affordability</w:t>
      </w:r>
      <w:r>
        <w:rPr>
          <w:rFonts w:ascii="Arial" w:cs="Arial" w:eastAsia="Arial" w:hAnsi="Arial"/>
          <w:sz w:val="18"/>
          <w:szCs w:val="18"/>
          <w:color w:val="auto"/>
        </w:rPr>
        <w:t>: The high cost of learning solutions prevents many individual learners from advancing or upgrading their skills.</w:t>
      </w:r>
      <w:r>
        <w:rPr>
          <w:rFonts w:ascii="Arial" w:cs="Arial" w:eastAsia="Arial" w:hAnsi="Arial"/>
          <w:sz w:val="18"/>
          <w:szCs w:val="18"/>
          <w:i w:val="1"/>
          <w:iCs w:val="1"/>
          <w:color w:val="auto"/>
        </w:rPr>
        <w:t xml:space="preserve"> </w:t>
      </w:r>
      <w:r>
        <w:rPr>
          <w:rFonts w:ascii="Arial" w:cs="Arial" w:eastAsia="Arial" w:hAnsi="Arial"/>
          <w:sz w:val="18"/>
          <w:szCs w:val="18"/>
          <w:color w:val="auto"/>
        </w:rPr>
        <w:t>Likewise, pricing for existing solutions is often standardized globally, further limiting access in many geographies.</w:t>
      </w:r>
    </w:p>
    <w:p>
      <w:pPr>
        <w:spacing w:after="0" w:line="178"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We offer a new approach, one that addresses these shortcomings and effectively connects the global ecosystem of learners to up-to-date knowledge from experts and practitioners around the world. We are creating a better learning experience.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market opportunity</w:t>
      </w:r>
    </w:p>
    <w:p>
      <w:pPr>
        <w:spacing w:after="0" w:line="130"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According to a HolonIQ study, the global online and offline education market was $2.6 trillion across higher education, corporate training, and online learning in 2019. Before the COVID-19 pandemic, the majority of corporate training occurred offline, and we believe that online education is well placed to address the scalability and affordability limitations of offline education. With the increase of internet connectivity, technological advances, and interactive tools at a low cost, we expect a massive shift from offline to online.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Based on data from Arizton, we estimate our market opportunity in online learning to be $223 billion. We calculate this estimate by aggregating the global corporate opportunity of $71 billion and the global consumer opportunity of $ 152 billion in 2021. We believe that our market opportunity could grow to be multiples of today’s estimate as learning continues to transition online.</w:t>
      </w:r>
    </w:p>
    <w:p>
      <w:pPr>
        <w:spacing w:after="0" w:line="203"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Further, we believe that online education can address the rising demand for lifelong learning in the rapidly evolving world economy, a development that would expand our market opportunity to include the majority of the global adult population.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solution: the world’s learning platform</w:t>
      </w:r>
    </w:p>
    <w:p>
      <w:pPr>
        <w:spacing w:after="0" w:line="130"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Our platform allows individual learners and organizations all over the world to access affordable, relevant, and up-to-date content from experts and experienced practitioners in nearly every field. We combine this high-quality content with data insights and technology to create a platform purpose-built to meet the specific needs of learners, instructors, and organizations.</w:t>
      </w:r>
    </w:p>
    <w:p>
      <w:pPr>
        <w:spacing w:after="0" w:line="203"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In effect, our platform delivers a powerful flywheel of content creation, engagement, and continuous content optimization. Our expert instructors continuously generate new courses and update existing ones, while our marketplace encourages engagement on the most in-demand topics. The volume and frequency of these interactions allow us to generate meaningful insights and provide real-time feedback and analytics for our instructors. These data insights in turn improve content quality, enhance course personalization, and optimize productivity and satisfaction for our learners.</w:t>
      </w:r>
    </w:p>
    <w:p>
      <w:pPr>
        <w:spacing w:after="0" w:line="20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One way that we foster access to courses for individual learners and organizations is through broad content distribution across our various channels. We leverage machine learning, or ML, to increase learner retention and conversion using enhanced personalization. At the same time, we believe our model encourages more relevant and engaging content through well-aligned incentives for our instructors, supported by consistent improvement from the feedback and data collected from individual learners and UB customers.</w:t>
      </w:r>
    </w:p>
    <w:p>
      <w:pPr>
        <w:spacing w:after="0" w:line="205"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Over 17,700 free courses are available on our platform. These free courses represent an important entry point for learners to experience our platform. Over 28 million consumer learners have enrolled in free courses on a wide range of topics taught by a diverse set of instructors in a variety of languages. Through this free content, we are able to build a large and cost-effective top of the funnel for both consumer and UB leads. Once learners interact with our platform, our ML algorithms recommend courses for learners to purchase based on topic, quality, instructor rating, number of enrollments, learner’s country of origin, and more. The algorithms help us maximize revenue while offering the best value to learners. Over 3.7 million free learners have converted to buyers.</w:t>
      </w:r>
    </w:p>
    <w:p>
      <w:pPr>
        <w:spacing w:after="0" w:line="205"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We also offer unlimited access to a curated catalog of courses through our Consumer, Enterprise, and Team plan subscriptions. The courses selected for the subscription offerings are among the highest quality, most relevant, and most popular on our platform. Pricing for our subscription plans typically begins at a range of $20-$30 per seat per month, subject to geographic variations.</w:t>
      </w:r>
    </w:p>
    <w:p>
      <w:pPr>
        <w:spacing w:after="0" w:line="20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Our Consumer plans are offered on a monthly basis and provide a single seat with access to a catalog of over 5,000 of our top-rated courses. Pricing for Consumer plans varies based on jurisdiction and the course catalog for which the learner has subscribed. Our Consumer plans generally renew automatically for subsequent subscription terms. Learners can cancel to prevent renewal at the end of the then-current period.</w:t>
      </w:r>
    </w:p>
    <w:p>
      <w:pPr>
        <w:spacing w:after="0" w:line="20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Team plan offers organizations access to over 6,000 top-rated courses for 5-20 seats at an annual rate starting at $360 per seat. Our Team plan offers an automatic renewal option for subsequent subscription terms. These customers can cancel to prevent renewal at the end of the then-current period. Team plan accounts can be customized to provide a unique, enterprise-specific URL and can incorporate the UB customer’s logo in the user interface. Our Team plan also permits learners to access the applicable course catalog through our UB app and provides enterprises with basic learner management tools.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Enterprise plan begins with the same offering as the Team plan for 21+ seats and supplements it with additional administrative tools, insights, learning playbooks, and additional courses through our language packages. Pricing for our Enterprise plans is based on volume, length of contract, and a number of other factors. Enterprise plans are available as both annual and multi-year subscriptions, with renewal and cancellation terms varying based on each customer’s specific contract. In addition to these subscriptions, we offer immersive learning experiences such as labs, skills assessments, and coding exercises in a range of verticals. These varied options help enable our sales and services teams to customize our approach to work for organizations of all sizes, from emerging companies with under 200 employees to large enterprises with over 5,000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we offer our learners</w:t>
      </w:r>
    </w:p>
    <w:p>
      <w:pPr>
        <w:spacing w:after="0" w:line="126"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We provide over 44 million learners with relevant, affordable, and high-quality content, and we do this on a platform that enables the constant improvement of our courses by leveraging the social validation of over 594 million course enrollments, as well as thousands of ratings and reviews. With Udemy, learners can fulfill objectives involving:</w:t>
      </w:r>
    </w:p>
    <w:p>
      <w:pPr>
        <w:spacing w:after="0" w:line="90" w:lineRule="exact"/>
        <w:rPr>
          <w:sz w:val="20"/>
          <w:szCs w:val="20"/>
          <w:color w:val="auto"/>
        </w:rPr>
      </w:pPr>
    </w:p>
    <w:p>
      <w:pPr>
        <w:ind w:left="760" w:right="620" w:hanging="320"/>
        <w:spacing w:after="0" w:line="267"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Technical skills</w:t>
      </w:r>
      <w:r>
        <w:rPr>
          <w:rFonts w:ascii="Arial" w:cs="Arial" w:eastAsia="Arial" w:hAnsi="Arial"/>
          <w:sz w:val="18"/>
          <w:szCs w:val="18"/>
          <w:color w:val="auto"/>
        </w:rPr>
        <w:t>: Learners often seek to gain proficiency in the latest technology, which helps them stay competitive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upskilling or reskilling their capabilities.</w:t>
      </w:r>
    </w:p>
    <w:p>
      <w:pPr>
        <w:spacing w:after="0" w:line="65" w:lineRule="exact"/>
        <w:rPr>
          <w:rFonts w:ascii="Arial" w:cs="Arial" w:eastAsia="Arial" w:hAnsi="Arial"/>
          <w:sz w:val="18"/>
          <w:szCs w:val="18"/>
          <w:color w:val="auto"/>
        </w:rPr>
      </w:pPr>
    </w:p>
    <w:p>
      <w:pPr>
        <w:ind w:left="760" w:right="120" w:hanging="320"/>
        <w:spacing w:after="0" w:line="267"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Business skills</w:t>
      </w:r>
      <w:r>
        <w:rPr>
          <w:rFonts w:ascii="Arial" w:cs="Arial" w:eastAsia="Arial" w:hAnsi="Arial"/>
          <w:sz w:val="18"/>
          <w:szCs w:val="18"/>
          <w:color w:val="auto"/>
        </w:rPr>
        <w:t>: Business and professional soft skills, such as negotiation strategy or team leadership, are in constant demand as</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look to advance their careers, react to new workplace environments, or take on new responsibilities.</w:t>
      </w:r>
    </w:p>
    <w:p>
      <w:pPr>
        <w:spacing w:after="0" w:line="65" w:lineRule="exact"/>
        <w:rPr>
          <w:rFonts w:ascii="Arial" w:cs="Arial" w:eastAsia="Arial" w:hAnsi="Arial"/>
          <w:sz w:val="18"/>
          <w:szCs w:val="18"/>
          <w:color w:val="auto"/>
        </w:rPr>
      </w:pPr>
    </w:p>
    <w:p>
      <w:pPr>
        <w:ind w:left="760" w:right="120" w:hanging="320"/>
        <w:spacing w:after="0" w:line="267"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Personal development</w:t>
      </w:r>
      <w:r>
        <w:rPr>
          <w:rFonts w:ascii="Arial" w:cs="Arial" w:eastAsia="Arial" w:hAnsi="Arial"/>
          <w:sz w:val="18"/>
          <w:szCs w:val="18"/>
          <w:color w:val="auto"/>
        </w:rPr>
        <w:t>: Learners like to complement their primary skills with discovery of new interests or hobbies such as music,</w:t>
      </w:r>
      <w:r>
        <w:rPr>
          <w:rFonts w:ascii="Arial" w:cs="Arial" w:eastAsia="Arial" w:hAnsi="Arial"/>
          <w:sz w:val="18"/>
          <w:szCs w:val="18"/>
          <w:i w:val="1"/>
          <w:iCs w:val="1"/>
          <w:color w:val="auto"/>
        </w:rPr>
        <w:t xml:space="preserve"> </w:t>
      </w:r>
      <w:r>
        <w:rPr>
          <w:rFonts w:ascii="Arial" w:cs="Arial" w:eastAsia="Arial" w:hAnsi="Arial"/>
          <w:sz w:val="18"/>
          <w:szCs w:val="18"/>
          <w:color w:val="auto"/>
        </w:rPr>
        <w:t>drawing, and wellness.</w:t>
      </w:r>
    </w:p>
    <w:p>
      <w:pPr>
        <w:spacing w:after="0" w:line="178"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Learners on Udemy receive a comprehensive and immersive experience through interactive exercises and the ability to communicate directly with instructors through question-and-answer functionality. Our courses feature world-class instructors like Angela Yu, founder of the programming bootcamp London App Brewery, whose courses have approximately 1.1 million cumulative enrollments and an average rating of 4.7 out of 5.0 stars, and Jose Portilla, the Head of Data Science of Pierian Data, whose courses have approximately 3.3 million cumulative enrollments and an average rating of 4.5 out of 5.0 stars.</w:t>
      </w:r>
    </w:p>
    <w:p>
      <w:pPr>
        <w:spacing w:after="0" w:line="2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work to create a trusted and welcoming platform for learners by implementing policies and procedures intended to encourage respectful behavior. This includes requiring instructors to respect the intellectual property rights of others and prohibiting the posting of any inappropriate, offensive, false, or infringing content. As part of our publication process, we assess whether courses satisfy a checklist of technical criteria related to their audio, video, and course descriptions, and we reject courses on topics prohibited on our platform. Additionally, Udemy enables learners and other parties to easily report conduct that violates our policies, and our Trust &amp; Safety team maintains processes to take action when we become aware of policy violations, which can range from the temporary disabling of communications features in cases of excessive use to the removal of content and termination of accounts in cases of more serious policy violations, such as the posting of infringing content.</w:t>
      </w:r>
    </w:p>
    <w:p>
      <w:pPr>
        <w:spacing w:after="0" w:line="208"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Our refund policy for courses purchased on our consumer marketplace offers learners the ability to request a cash or credit refund up to 30 days from their purchase, subject to certain refund policy guidelines. The decision to refund in either cash or credit is at our sole discretion.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we offer our UB customers</w:t>
      </w:r>
    </w:p>
    <w:p>
      <w:pPr>
        <w:spacing w:after="0" w:line="126"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We have over 8,600 global UB customers, including 42 of the Fortune 100. Companies such as Citi, Jaguar Land Rover, Tata Consultancy Services, Booz Allen Hamilton, PayPal, Box, Sapient, and Eventbrite are trusting UB to help them achieve their learning and development goals, drawn by the real-world expertise and experience of our instructors.</w:t>
      </w:r>
    </w:p>
    <w:p>
      <w:pPr>
        <w:spacing w:after="0" w:line="203"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We are focused on helping UB customers upskill and reskill their teams to increase productivity, inspire innovation, address digital transformation, and drive talent retention, particularly in a post-COVID-19 world. UB customers typically express high satisfaction with their UB experience, resulting in our average net promoter score of 49 and an average course rating from UB learners of 4.5 out of 5.0 stars.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content is relevant to organizations across a variety of industries and includes courses in subjects like technology and business skills. Our curated UB offering begins with over 6,000 of the most engaging and relevant courses available on our platform, selected to meet the needs and standards of some of the world’s largest enterprises. As a part of this offering, we also offer an extensive non-English language collection, which includes courses in Spanish, Portuguese, German, Japanese, and French. We have continued to expand our course offering within UB with the launch of Arabic, Indonesian, Italian, Mandarin, and Turkish language packages in 2021, and we plan to launch Korean, Polish, and Russian language packages later in the year.</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use a rigorous selection process across a wide set of criteria to determine the courses that will be offered as part of UB, including:</w:t>
      </w:r>
    </w:p>
    <w:p>
      <w:pPr>
        <w:spacing w:after="0" w:line="99" w:lineRule="exact"/>
        <w:rPr>
          <w:sz w:val="20"/>
          <w:szCs w:val="20"/>
          <w:color w:val="auto"/>
        </w:rPr>
      </w:pPr>
    </w:p>
    <w:p>
      <w:pPr>
        <w:ind w:left="760" w:right="100" w:hanging="320"/>
        <w:spacing w:after="0" w:line="26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User behavior</w:t>
      </w:r>
      <w:r>
        <w:rPr>
          <w:rFonts w:ascii="Arial" w:cs="Arial" w:eastAsia="Arial" w:hAnsi="Arial"/>
          <w:sz w:val="18"/>
          <w:szCs w:val="18"/>
          <w:color w:val="auto"/>
        </w:rPr>
        <w:t>: Learner feedback and ratings, as well as content searches, help us determine which courses to maintain or add to</w:t>
      </w:r>
      <w:r>
        <w:rPr>
          <w:rFonts w:ascii="Arial" w:cs="Arial" w:eastAsia="Arial" w:hAnsi="Arial"/>
          <w:sz w:val="18"/>
          <w:szCs w:val="18"/>
          <w:i w:val="1"/>
          <w:iCs w:val="1"/>
          <w:color w:val="auto"/>
        </w:rPr>
        <w:t xml:space="preserve"> </w:t>
      </w:r>
      <w:r>
        <w:rPr>
          <w:rFonts w:ascii="Arial" w:cs="Arial" w:eastAsia="Arial" w:hAnsi="Arial"/>
          <w:sz w:val="18"/>
          <w:szCs w:val="18"/>
          <w:color w:val="auto"/>
        </w:rPr>
        <w:t>UB.</w:t>
      </w:r>
    </w:p>
    <w:p>
      <w:pPr>
        <w:spacing w:after="0" w:line="65" w:lineRule="exact"/>
        <w:rPr>
          <w:rFonts w:ascii="Arial" w:cs="Arial" w:eastAsia="Arial" w:hAnsi="Arial"/>
          <w:sz w:val="18"/>
          <w:szCs w:val="18"/>
          <w:color w:val="auto"/>
        </w:rPr>
      </w:pPr>
    </w:p>
    <w:p>
      <w:pPr>
        <w:ind w:left="760" w:right="580" w:hanging="320"/>
        <w:spacing w:after="0" w:line="26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Customer input</w:t>
      </w:r>
      <w:r>
        <w:rPr>
          <w:rFonts w:ascii="Arial" w:cs="Arial" w:eastAsia="Arial" w:hAnsi="Arial"/>
          <w:sz w:val="18"/>
          <w:szCs w:val="18"/>
          <w:color w:val="auto"/>
        </w:rPr>
        <w:t>: Specific content requests, prospects’ requests for proposal, and customer success stories are evaluated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new areas of focus that help ensure the continued strong relevance of our offering.</w:t>
      </w:r>
    </w:p>
    <w:p>
      <w:pPr>
        <w:spacing w:after="0" w:line="65" w:lineRule="exact"/>
        <w:rPr>
          <w:rFonts w:ascii="Arial" w:cs="Arial" w:eastAsia="Arial" w:hAnsi="Arial"/>
          <w:sz w:val="18"/>
          <w:szCs w:val="18"/>
          <w:color w:val="auto"/>
        </w:rPr>
      </w:pPr>
    </w:p>
    <w:p>
      <w:pPr>
        <w:ind w:left="760" w:right="500" w:hanging="320"/>
        <w:spacing w:after="0" w:line="26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Market research</w:t>
      </w:r>
      <w:r>
        <w:rPr>
          <w:rFonts w:ascii="Arial" w:cs="Arial" w:eastAsia="Arial" w:hAnsi="Arial"/>
          <w:sz w:val="18"/>
          <w:szCs w:val="18"/>
          <w:color w:val="auto"/>
        </w:rPr>
        <w:t>: Industry trends and instructor interviews help us determine relevant topics and new technologies valued by</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and their employees.</w:t>
      </w:r>
    </w:p>
    <w:p>
      <w:pPr>
        <w:spacing w:after="0" w:line="65" w:lineRule="exact"/>
        <w:rPr>
          <w:rFonts w:ascii="Arial" w:cs="Arial" w:eastAsia="Arial" w:hAnsi="Arial"/>
          <w:sz w:val="18"/>
          <w:szCs w:val="18"/>
          <w:color w:val="auto"/>
        </w:rPr>
      </w:pPr>
    </w:p>
    <w:p>
      <w:pPr>
        <w:ind w:left="760" w:right="240" w:hanging="320"/>
        <w:spacing w:after="0" w:line="26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Competitor analysis</w:t>
      </w:r>
      <w:r>
        <w:rPr>
          <w:rFonts w:ascii="Arial" w:cs="Arial" w:eastAsia="Arial" w:hAnsi="Arial"/>
          <w:sz w:val="18"/>
          <w:szCs w:val="18"/>
          <w:color w:val="auto"/>
        </w:rPr>
        <w:t>: We monitor market data and analyst reports on an ongoing basis to stay at the forefront of market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and quickly address any applicable gaps within the topics offered.</w:t>
      </w:r>
    </w:p>
    <w:p>
      <w:pPr>
        <w:spacing w:after="0" w:line="17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constantly update and enhance the curated list of courses included in the UB course catalog in response to industry changes and technological advancement. As of June 30, 2021, the UB course catalog included over 74,000 hours of technical content and over 28,000 hours of business, personal and professional skills content. On average, during the first half of 2021, over 460 new courses were added each month. Our overall UB course catalog has increased from fewer than 2,500 courses in 2017 to over 11,000 today.</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addition to high-quality content, we provide the tools and insights necessary for enterprise administrators, managers, and teams to create learning paths. These learning paths allow organizations to assemble customized learning series made up of Udemy courses, the organization’s own material, and links to external resources. Learning paths are only visible within the organization that creates them, and offer a unique benefit to administrators and employees. As of June 30, 2021, our UB customers have generated over 360,000 learning paths.</w:t>
      </w:r>
    </w:p>
    <w:p>
      <w:pPr>
        <w:spacing w:after="0" w:line="202"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also offer UB customers a comprehensive analytics dashboard and other powerful tools through which they gain high visibility into the progress, areas of focus, and feedback of their employees. This strong set of tools, which includes our learning playbooks, helps our UB customers better understand and optimize learning experiences for their employees and ensure they are delivering a strong and measurable return on their investment in learning skills.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we offer our instructors</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offer instructors from around the world access to a global audience of over 44 million learners. Our model allows instructors who elect to charge for courses to share directly in the economic upside of the course content they contribute and the growth of our platform. We have an aligned incentive model where payments to instructors are proportional to course sales on our platform. In 2020, our paid instructors earned $161.4 million from Udemy for their courses, with average paid instructor earnings of $2,950 and over 9,000 global instructors earning more than $1,000. In the six months ended June 30, 2021, our paid instructors earned $86.8 million from Udemy for their courses, with average paid instructor earnings of $1,574 and over 6,000 global instructors receiving more than $1,000 in earnings. The breadth of instructors and courses contributes to the wide variety of content topics available on our platform, as well as meaningful depth within most content categories. We believe that this combination of breadth and depth helps foster competition and choice on our platform and attracts learners and enterprise customers.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enable our instructors to drive innovation and ongoing engagement on our platform. We not only provide instructors access to millions of learners but also offer proprietary tools to help them generate more relevant and better content. Instructors are able to use platform insights, review feedback from learners, and harness analytics dashboards to manage their course content, brand, and course marketing. As instructors upgrade their courses, our performance marketing engine identifies and selects the best courses to be featured to each learner around the world. Our marketing engine targets and reaches millions of learners, many more times what instructors would be able to reach on their own. Instructors can also enroll in our promotional pricing program. Through this promotional pricing program, we programmatically control the list price for courses offered through our consumer marketplace, as well as the discounted price shown to consumers during promotional events and campaigns, as and when such promotions occur in our discretion, based on course characteristics like category of content, hours of content, rating, and popularity. In addition, we offer instructors insight on the revenue opportunity and existing content for any given topic, and we provide auto-generated, translated captions from English to Spanish, Portuguese, French, German, Italian, and Polish, so instructors can better reach our global learner base.</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When an instructor’s course is added to the UB catalog, instructors are subject to an exclusivity clause for the use of their content on our platform, pursuant to which instructors agree, subject to limited exceptions, not to offer any on-demand content, such as pre-recorded courses, on any competing platform in a way that directly competes with or impairs the sales of such content on our platform. This exclusivity clause is effective for so long as an instructor’s content is included in the UB catalog, and we may continue to include content in the UB catalog for up to 12 months after an instructor elects to opt out of the UB catalog. We believe these exclusivity arrangements increase the value of our offerings by increasing the amount of unique content on Udemy and helping maintain our robust roster of expert instructors.</w:t>
      </w:r>
    </w:p>
    <w:p>
      <w:pPr>
        <w:spacing w:after="0" w:line="20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We believe that, on average, the value we offer instructors ultimately delivers a far higher return on investment relative to other content creation and online learning competitors.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competitive strengths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our business model benefits from several competitive advantages:</w:t>
      </w:r>
    </w:p>
    <w:p>
      <w:pPr>
        <w:spacing w:after="0" w:line="19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 xml:space="preserve">Global distribution and reach with strong brand value: </w:t>
      </w:r>
      <w:r>
        <w:rPr>
          <w:rFonts w:ascii="Arial" w:cs="Arial" w:eastAsia="Arial" w:hAnsi="Arial"/>
          <w:sz w:val="18"/>
          <w:szCs w:val="18"/>
          <w:color w:val="auto"/>
        </w:rPr>
        <w:t>We consider our platform to be naturally borderless as it connects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learners and enterprise customers with instructors across the world. This has enabled us to develop a global distribution platform targeting all of the constituents in the learning ecosystem.</w:t>
      </w:r>
    </w:p>
    <w:p>
      <w:pPr>
        <w:spacing w:after="0" w:line="19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2020, 61% of our revenue was generated outside of North America. Our UB revenue is similarly global, with 47% of revenue from customers in North America, 29% from Europe, Middle East, and Africa, 21% from Asia Pacific, and 3% from Latin America for the twelve-month period through June 30, 2021. Because our online platform is available globally, curious learners and organizations can easily test our content. As these new learners and organizations begin to engage with us, we then have the opportunity to quickly and efficiently expand into these new markets by focusing our marketing, advertising, pricing, and language customization resources and expanding our payment options, which in turn allows us to grow our base of individual learners and enterprises on an ongoing basis and attract new instructors who create native language courses. We believe the scale of our platform and the increasing recognition of our brand create further avenues of growth.</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Robust content generation engine:</w:t>
      </w:r>
    </w:p>
    <w:p>
      <w:pPr>
        <w:spacing w:after="0" w:line="121" w:lineRule="exact"/>
        <w:rPr>
          <w:sz w:val="20"/>
          <w:szCs w:val="20"/>
          <w:color w:val="auto"/>
        </w:rPr>
      </w:pPr>
    </w:p>
    <w:p>
      <w:pPr>
        <w:ind w:left="760" w:right="100" w:hanging="320"/>
        <w:spacing w:after="0" w:line="24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Premium quality</w:t>
      </w:r>
      <w:r>
        <w:rPr>
          <w:rFonts w:ascii="Arial" w:cs="Arial" w:eastAsia="Arial" w:hAnsi="Arial"/>
          <w:sz w:val="18"/>
          <w:szCs w:val="18"/>
          <w:color w:val="auto"/>
        </w:rPr>
        <w:t>: We have effectively built a creator platform that allows instructors to develop content on virtually any topic, while</w:t>
      </w:r>
      <w:r>
        <w:rPr>
          <w:rFonts w:ascii="Arial" w:cs="Arial" w:eastAsia="Arial" w:hAnsi="Arial"/>
          <w:sz w:val="18"/>
          <w:szCs w:val="18"/>
          <w:i w:val="1"/>
          <w:iCs w:val="1"/>
          <w:color w:val="auto"/>
        </w:rPr>
        <w:t xml:space="preserve"> </w:t>
      </w:r>
      <w:r>
        <w:rPr>
          <w:rFonts w:ascii="Arial" w:cs="Arial" w:eastAsia="Arial" w:hAnsi="Arial"/>
          <w:sz w:val="18"/>
          <w:szCs w:val="18"/>
          <w:color w:val="auto"/>
        </w:rPr>
        <w:t>having the flexibility to update courses as they incorporate feedback from millions of learners around the world. We believe this continuously updated content, along with personalized recommendations and advanced search capabilities, presents a better value proposition for learners who benefit from accessing the most up-to-date, high-quality content that is relevant to them. The constant feedback loop between learners and instructors ensures that we are able to maintain the high quality of our overall offering.</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right="140" w:hanging="320"/>
        <w:spacing w:after="0" w:line="239"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Relevance and speed to market</w:t>
      </w:r>
      <w:r>
        <w:rPr>
          <w:rFonts w:ascii="Arial" w:cs="Arial" w:eastAsia="Arial" w:hAnsi="Arial"/>
          <w:sz w:val="18"/>
          <w:szCs w:val="18"/>
          <w:color w:val="auto"/>
        </w:rPr>
        <w:t>: Our marketplace model motivates instructors to provide relevant content to learners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by being first to address in-demand topics, refreshing existing topics, or finding new and better ways to serve the learner community on existing topics. Instructors who do so are more likely to have a “first-mover” advantage in attracting learners and enrollments to their courses, which in turn increases the likelihood of their course content being featured by our ML algorithms or included in our UB offerings, which also drives more enrollments and engagement from learners. We believe these structural inducements, coupled with our aligned incentive model, help drive our instructors to update their courses at a much higher rate than courses offered through competitors with a traditional publisher model. For example, 80% of courses in the UB course catalog were updated in the last two years.</w:t>
      </w:r>
    </w:p>
    <w:p>
      <w:pPr>
        <w:spacing w:after="0" w:line="92" w:lineRule="exact"/>
        <w:rPr>
          <w:rFonts w:ascii="Arial" w:cs="Arial" w:eastAsia="Arial" w:hAnsi="Arial"/>
          <w:sz w:val="18"/>
          <w:szCs w:val="18"/>
          <w:color w:val="auto"/>
        </w:rPr>
      </w:pPr>
    </w:p>
    <w:p>
      <w:pPr>
        <w:ind w:left="760" w:right="80" w:hanging="320"/>
        <w:spacing w:after="0" w:line="255" w:lineRule="auto"/>
        <w:tabs>
          <w:tab w:leader="none" w:pos="7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Breadth of content</w:t>
      </w:r>
      <w:r>
        <w:rPr>
          <w:rFonts w:ascii="Arial" w:cs="Arial" w:eastAsia="Arial" w:hAnsi="Arial"/>
          <w:sz w:val="17"/>
          <w:szCs w:val="17"/>
          <w:color w:val="auto"/>
        </w:rPr>
        <w:t>: We provide access to over 183,000 courses (over 17,700 of which were offered for free as of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over 70,000 courses in languages other than English. On average during the first half of 2021, instructors published more than 5,000 courses a month on our platform. Our courses cover a wide range of subjects, with 34% addressing technology topics such as development and IT, 31% covering business topics such as leadership and design, and 35% teaching personal enrichment topics such as personal development, languages, and music. Many of our competitors specialize in a specific category, which proves to be a suboptimal solution for companies and their employees that require a blend of technical, business, and soft skills. Our diverse marketplace of courses allows us to offer learners and UB customers a solution that supplements technical and business content with personal enrichment courses in the wellness, music, and lifestyle categories, among others.</w:t>
      </w:r>
    </w:p>
    <w:p>
      <w:pPr>
        <w:spacing w:after="0" w:line="79" w:lineRule="exact"/>
        <w:rPr>
          <w:rFonts w:ascii="Arial" w:cs="Arial" w:eastAsia="Arial" w:hAnsi="Arial"/>
          <w:sz w:val="17"/>
          <w:szCs w:val="17"/>
          <w:color w:val="auto"/>
        </w:rPr>
      </w:pPr>
    </w:p>
    <w:p>
      <w:pPr>
        <w:jc w:val="both"/>
        <w:ind w:left="760" w:right="20" w:hanging="320"/>
        <w:spacing w:after="0" w:line="296" w:lineRule="auto"/>
        <w:tabs>
          <w:tab w:leader="none" w:pos="7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Affordability</w:t>
      </w:r>
      <w:r>
        <w:rPr>
          <w:rFonts w:ascii="Arial" w:cs="Arial" w:eastAsia="Arial" w:hAnsi="Arial"/>
          <w:sz w:val="17"/>
          <w:szCs w:val="17"/>
          <w:color w:val="auto"/>
        </w:rPr>
        <w:t>: Our ML pricing algorithms determine how much we charge for our courses in our marketplace on a per-country basis,</w:t>
      </w:r>
      <w:r>
        <w:rPr>
          <w:rFonts w:ascii="Arial" w:cs="Arial" w:eastAsia="Arial" w:hAnsi="Arial"/>
          <w:sz w:val="17"/>
          <w:szCs w:val="17"/>
          <w:i w:val="1"/>
          <w:iCs w:val="1"/>
          <w:color w:val="auto"/>
        </w:rPr>
        <w:t xml:space="preserve"> </w:t>
      </w:r>
      <w:r>
        <w:rPr>
          <w:rFonts w:ascii="Arial" w:cs="Arial" w:eastAsia="Arial" w:hAnsi="Arial"/>
          <w:sz w:val="17"/>
          <w:szCs w:val="17"/>
          <w:color w:val="auto"/>
        </w:rPr>
        <w:t>taking into account dozens of course characteristics, including category of content, hours of content, course rating, and popularity.</w:t>
      </w:r>
    </w:p>
    <w:p>
      <w:pPr>
        <w:spacing w:after="0" w:line="135"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b w:val="1"/>
          <w:bCs w:val="1"/>
          <w:i w:val="1"/>
          <w:iCs w:val="1"/>
          <w:color w:val="auto"/>
        </w:rPr>
        <w:t xml:space="preserve">Self-reinforcing flywheel with powerful network effects: </w:t>
      </w:r>
      <w:r>
        <w:rPr>
          <w:rFonts w:ascii="Arial" w:cs="Arial" w:eastAsia="Arial" w:hAnsi="Arial"/>
          <w:sz w:val="18"/>
          <w:szCs w:val="18"/>
          <w:color w:val="auto"/>
        </w:rPr>
        <w:t>We are one symbiotic, data-centric platform with over 500 million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from 2018 through 2020. We believe the growing number of individual learners and enterprises on our platform attracts instructors for whom our platform and global audience can create new income streams and help support their families and local communities. The increasing number of relevant, high-quality, and up-to-date courses offered by world-class subject matter experts and industry practitioners, in turn, attracts more individual learners and enterprises.</w:t>
      </w:r>
    </w:p>
    <w:p>
      <w:pPr>
        <w:spacing w:after="0" w:line="19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direct-to-consumer offering is synergistic with UB. As individual learners experience firsthand the quality and benefits of Udemy’s platform, they realize the impact it could have on their teams and organizations, thus becoming evangelists for Udemy within their organizations at all levels. We have been very successful at driving high-converting leads to UB, with over 60% of leads coming from our direct-to-consumer platform in 2020. These leads have helped fuel UB’s rapid growth from under $13 million in ARR in December 2017 to over $180 million in ARR in June 2021.</w:t>
      </w:r>
    </w:p>
    <w:p>
      <w:pPr>
        <w:spacing w:after="0" w:line="180" w:lineRule="exact"/>
        <w:rPr>
          <w:sz w:val="20"/>
          <w:szCs w:val="20"/>
          <w:color w:val="auto"/>
        </w:rPr>
      </w:pPr>
    </w:p>
    <w:p>
      <w:pPr>
        <w:ind w:left="120" w:right="60"/>
        <w:spacing w:after="0" w:line="261" w:lineRule="auto"/>
        <w:rPr>
          <w:sz w:val="20"/>
          <w:szCs w:val="20"/>
          <w:color w:val="auto"/>
        </w:rPr>
      </w:pPr>
      <w:r>
        <w:rPr>
          <w:rFonts w:ascii="Arial" w:cs="Arial" w:eastAsia="Arial" w:hAnsi="Arial"/>
          <w:sz w:val="17"/>
          <w:szCs w:val="17"/>
          <w:b w:val="1"/>
          <w:bCs w:val="1"/>
          <w:i w:val="1"/>
          <w:iCs w:val="1"/>
          <w:color w:val="auto"/>
        </w:rPr>
        <w:t xml:space="preserve">Powerful data insights and analytics: </w:t>
      </w:r>
      <w:r>
        <w:rPr>
          <w:rFonts w:ascii="Arial" w:cs="Arial" w:eastAsia="Arial" w:hAnsi="Arial"/>
          <w:sz w:val="17"/>
          <w:szCs w:val="17"/>
          <w:color w:val="auto"/>
        </w:rPr>
        <w:t>With over 500 million unique visitors from 2018 through 2020, an average of 33 million monthly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unique visitors during the first half of 2021, more than 594 million cumulative course enrollments (including 201 million enrollments just in 2020), and almost 11 billion minutes of learning in 2020 and 2.8 billion minutes of learning during the second quarter of 2021, we believe that the volume of the data our platform collects provides meaningful insights into the behaviors and needs of our learners and instructors. We leverage that data to provide personalization for learners as well as to promote high-quality and relevant content from instructors.</w:t>
      </w:r>
    </w:p>
    <w:p>
      <w:pPr>
        <w:spacing w:after="0" w:line="18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capture user behavioral data and focus on understanding the learning objectives and interests of our learners across multiple touchpoints during their learning journey to better address their needs and recommend the right courses. We also analyze enrollment data, market insights, and feedback from learners to identify needed skills or new topics of focus within our content catalog. We share this information with our instructors in real time so they can improve their course offerings.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b w:val="1"/>
          <w:bCs w:val="1"/>
          <w:i w:val="1"/>
          <w:iCs w:val="1"/>
          <w:color w:val="auto"/>
        </w:rPr>
        <w:t xml:space="preserve">Flexible technology platform: </w:t>
      </w:r>
      <w:r>
        <w:rPr>
          <w:rFonts w:ascii="Arial" w:cs="Arial" w:eastAsia="Arial" w:hAnsi="Arial"/>
          <w:sz w:val="18"/>
          <w:szCs w:val="18"/>
          <w:color w:val="auto"/>
        </w:rPr>
        <w:t>Our technology platform is modern, agile, accessible from a variety of online and mobile channels,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built to scale with our global growth. A deep reservoir of data with billions of data points helps our data scientists recommend better and more relevant content. We use advanced technology applications, such as personalized promotions, lifecycle marketing, and content personalization, to help tailor our platform for our learners.</w:t>
      </w:r>
    </w:p>
    <w:p>
      <w:pPr>
        <w:spacing w:after="0" w:line="19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platform’s ability to provide a personalized experience is further enhanced by the ML methodologies used to develop the algorithms included in our technology, which allow us to personalize each learner’s experience continuously and automatically. We regularly run tests to determine which product features, course recommendations, prices, and messaging will drive the best outcomes for our learners and Udemy as a whole. In addition, we have built our technology to be flexible to enable us to continuously test and add new features, such as interactive exercises and immersive learning experiences.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growth strategies</w:t>
      </w:r>
    </w:p>
    <w:p>
      <w:pPr>
        <w:spacing w:after="0" w:line="130"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We are still in the early stages of our long-term growth strategy. We expect to continue expanding our consumer and UB customer base, instructor network, and content catalog while increasing our market opportunities through the following strategies: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 the growth of our enterprise business through:</w:t>
      </w:r>
    </w:p>
    <w:p>
      <w:pPr>
        <w:spacing w:after="0" w:line="121" w:lineRule="exact"/>
        <w:rPr>
          <w:sz w:val="20"/>
          <w:szCs w:val="20"/>
          <w:color w:val="auto"/>
        </w:rPr>
      </w:pPr>
    </w:p>
    <w:p>
      <w:pPr>
        <w:ind w:left="760" w:right="20" w:hanging="320"/>
        <w:spacing w:after="0" w:line="239"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Successfully executing on our land-and-expand strategy</w:t>
      </w:r>
      <w:r>
        <w:rPr>
          <w:rFonts w:ascii="Arial" w:cs="Arial" w:eastAsia="Arial" w:hAnsi="Arial"/>
          <w:sz w:val="18"/>
          <w:szCs w:val="18"/>
          <w:color w:val="auto"/>
        </w:rPr>
        <w:t>. Our strategy focuses on acquiring new customers and efficiently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our relationships with existing customers, beginning with either individual users or departmental deployments. Historically, we have expanded from individual to department to multi-department to enterprise-wide sales as UB’s value is proven and enterprise customers identify additional use cases. With fewer than 10% of total available seats contracted in our enterprise customer base, we consequently see a large opportunity for growth. We intend to continue to expand our sales team footprint globally and to improve our upselling tactics with the assistance of better tools and systems. In addition to inbound leads from our direct-to-consumer offering, we have developed a strong outbound lead-generation process with highly effective account-based marketing operations, allowing us to target, develop, and nurture key accounts in large organizations.</w:t>
      </w:r>
    </w:p>
    <w:p>
      <w:pPr>
        <w:spacing w:after="0" w:line="92" w:lineRule="exact"/>
        <w:rPr>
          <w:rFonts w:ascii="Arial" w:cs="Arial" w:eastAsia="Arial" w:hAnsi="Arial"/>
          <w:sz w:val="18"/>
          <w:szCs w:val="18"/>
          <w:color w:val="auto"/>
        </w:rPr>
      </w:pPr>
    </w:p>
    <w:p>
      <w:pPr>
        <w:ind w:left="760" w:right="340" w:hanging="320"/>
        <w:spacing w:after="0" w:line="245"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Improving quality and relevance of our courses</w:t>
      </w:r>
      <w:r>
        <w:rPr>
          <w:rFonts w:ascii="Arial" w:cs="Arial" w:eastAsia="Arial" w:hAnsi="Arial"/>
          <w:sz w:val="18"/>
          <w:szCs w:val="18"/>
          <w:color w:val="auto"/>
        </w:rPr>
        <w:t>. We curate our enterprise catalog by selecting the highest-rated and most</w:t>
      </w:r>
      <w:r>
        <w:rPr>
          <w:rFonts w:ascii="Arial" w:cs="Arial" w:eastAsia="Arial" w:hAnsi="Arial"/>
          <w:sz w:val="18"/>
          <w:szCs w:val="18"/>
          <w:i w:val="1"/>
          <w:iCs w:val="1"/>
          <w:color w:val="auto"/>
        </w:rPr>
        <w:t xml:space="preserve"> </w:t>
      </w:r>
      <w:r>
        <w:rPr>
          <w:rFonts w:ascii="Arial" w:cs="Arial" w:eastAsia="Arial" w:hAnsi="Arial"/>
          <w:sz w:val="18"/>
          <w:szCs w:val="18"/>
          <w:color w:val="auto"/>
        </w:rPr>
        <w:t>engaging courses from our consumer business. We intend to continue leveraging our large platform to source high-quality and relevant curricula. We will also continue to improve the speed and efficiency of our curation processes, enabling us to quickly discern the content most relevant to our enterprise customers.</w:t>
      </w:r>
    </w:p>
    <w:p>
      <w:pPr>
        <w:spacing w:after="0" w:line="86" w:lineRule="exact"/>
        <w:rPr>
          <w:rFonts w:ascii="Arial" w:cs="Arial" w:eastAsia="Arial" w:hAnsi="Arial"/>
          <w:sz w:val="18"/>
          <w:szCs w:val="18"/>
          <w:color w:val="auto"/>
        </w:rPr>
      </w:pPr>
    </w:p>
    <w:p>
      <w:pPr>
        <w:ind w:left="760" w:right="20" w:hanging="320"/>
        <w:spacing w:after="0" w:line="238"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Integrating our UB offering with employees’ workflow</w:t>
      </w:r>
      <w:r>
        <w:rPr>
          <w:rFonts w:ascii="Arial" w:cs="Arial" w:eastAsia="Arial" w:hAnsi="Arial"/>
          <w:sz w:val="18"/>
          <w:szCs w:val="18"/>
          <w:color w:val="auto"/>
        </w:rPr>
        <w:t>. We provide easy-to-implement learning playbooks, which enable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 combine UB courses with their own in-house training to create blended learning programs. UB learners can also take advantage of our personalized content recommendations, which we derive from the data we collect. We currently integrate with existing employee learning-and-development and HR workflows, including our customers’ learning management systems and learning experience platforms, to help enable a more robust offering for UB learners and greater employer visibility into learning. Examples of these integrations include Workday, SAP SuccessFactors, Slack, and ServiceNow. Integrations enable UB customers to incorporate learning in the flow of work: learners can discover, search, and consume our UB catalog. Leaders can sync, track, and report learning progress for employees across other HR systems and also encourage learning across the organization through reminders and sharing on existing company messaging platforms. Looking forward, we intend to expand our offering to integrate with additional employee learning-and-development and HR workflows, and to introduce additional services for employees, thus expanding usage within our UB customers.</w:t>
      </w:r>
    </w:p>
    <w:p>
      <w:pPr>
        <w:spacing w:after="0" w:line="91" w:lineRule="exact"/>
        <w:rPr>
          <w:rFonts w:ascii="Arial" w:cs="Arial" w:eastAsia="Arial" w:hAnsi="Arial"/>
          <w:sz w:val="18"/>
          <w:szCs w:val="18"/>
          <w:color w:val="auto"/>
        </w:rPr>
      </w:pPr>
    </w:p>
    <w:p>
      <w:pPr>
        <w:ind w:left="760" w:right="180" w:hanging="320"/>
        <w:spacing w:after="0" w:line="250"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Deliver immersive learning experiences</w:t>
      </w:r>
      <w:r>
        <w:rPr>
          <w:rFonts w:ascii="Arial" w:cs="Arial" w:eastAsia="Arial" w:hAnsi="Arial"/>
          <w:sz w:val="18"/>
          <w:szCs w:val="18"/>
          <w:color w:val="auto"/>
        </w:rPr>
        <w:t>. Our platform currently offers powerful learning experiences including practice tests,</w:t>
      </w:r>
      <w:r>
        <w:rPr>
          <w:rFonts w:ascii="Arial" w:cs="Arial" w:eastAsia="Arial" w:hAnsi="Arial"/>
          <w:sz w:val="18"/>
          <w:szCs w:val="18"/>
          <w:i w:val="1"/>
          <w:iCs w:val="1"/>
          <w:color w:val="auto"/>
        </w:rPr>
        <w:t xml:space="preserve"> </w:t>
      </w:r>
      <w:r>
        <w:rPr>
          <w:rFonts w:ascii="Arial" w:cs="Arial" w:eastAsia="Arial" w:hAnsi="Arial"/>
          <w:sz w:val="18"/>
          <w:szCs w:val="18"/>
          <w:color w:val="auto"/>
        </w:rPr>
        <w:t>coding exercises, and quizzes, which permit learners to prepare for certification exams and better retain what they have learned. We intend to expand our offerings to include deeper skills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80"/>
        <w:spacing w:after="0" w:line="237" w:lineRule="auto"/>
        <w:rPr>
          <w:sz w:val="20"/>
          <w:szCs w:val="20"/>
          <w:color w:val="auto"/>
        </w:rPr>
      </w:pPr>
      <w:r>
        <w:rPr>
          <w:rFonts w:ascii="Arial" w:cs="Arial" w:eastAsia="Arial" w:hAnsi="Arial"/>
          <w:sz w:val="18"/>
          <w:szCs w:val="18"/>
          <w:color w:val="auto"/>
        </w:rPr>
        <w:t>assessments, labs, and cohort-based learning. Assessments increase learning efficiency by identifying further areas of study for learners. Labs enable learners to practice the skills they are learning in the applicable technical environments. Cohort-based learning combines synchronous and asynchronous learning together with reflections and virtual classroom time, enabling learning from one’s peers and creating accountability to the cohort for course completion and live participation. We will also consider acquisitions to expand the immersive learning experiences we offer, with a goal of improving learner outcomes and ultimately increasing retention.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learner retention through:</w:t>
      </w:r>
    </w:p>
    <w:p>
      <w:pPr>
        <w:spacing w:after="0" w:line="121" w:lineRule="exact"/>
        <w:rPr>
          <w:sz w:val="20"/>
          <w:szCs w:val="20"/>
          <w:color w:val="auto"/>
        </w:rPr>
      </w:pPr>
    </w:p>
    <w:p>
      <w:pPr>
        <w:ind w:left="760" w:right="220" w:hanging="320"/>
        <w:spacing w:after="0" w:line="26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Building a global personalization engine. </w:t>
      </w:r>
      <w:r>
        <w:rPr>
          <w:rFonts w:ascii="Arial" w:cs="Arial" w:eastAsia="Arial" w:hAnsi="Arial"/>
          <w:sz w:val="18"/>
          <w:szCs w:val="18"/>
          <w:color w:val="auto"/>
        </w:rPr>
        <w:t>Since the beginning of 2020, we have invested considerable resources in developing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personalization-based technology platform, which includes:</w:t>
      </w:r>
    </w:p>
    <w:p>
      <w:pPr>
        <w:spacing w:after="0" w:line="83" w:lineRule="exact"/>
        <w:rPr>
          <w:rFonts w:ascii="Arial" w:cs="Arial" w:eastAsia="Arial" w:hAnsi="Arial"/>
          <w:sz w:val="18"/>
          <w:szCs w:val="18"/>
          <w:color w:val="auto"/>
        </w:rPr>
      </w:pPr>
    </w:p>
    <w:p>
      <w:pPr>
        <w:ind w:left="1320" w:hanging="327"/>
        <w:spacing w:after="0"/>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State-of-the-art eventing platform to track and store every learner interaction with our site and apps;</w:t>
      </w:r>
    </w:p>
    <w:p>
      <w:pPr>
        <w:spacing w:after="0" w:line="117" w:lineRule="exact"/>
        <w:rPr>
          <w:rFonts w:ascii="Arial" w:cs="Arial" w:eastAsia="Arial" w:hAnsi="Arial"/>
          <w:sz w:val="18"/>
          <w:szCs w:val="18"/>
          <w:color w:val="auto"/>
        </w:rPr>
      </w:pPr>
    </w:p>
    <w:p>
      <w:pPr>
        <w:ind w:left="1320" w:hanging="327"/>
        <w:spacing w:after="0"/>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Customer data platform to structure and analyze all of our learner data;</w:t>
      </w:r>
    </w:p>
    <w:p>
      <w:pPr>
        <w:spacing w:after="0" w:line="117" w:lineRule="exact"/>
        <w:rPr>
          <w:rFonts w:ascii="Arial" w:cs="Arial" w:eastAsia="Arial" w:hAnsi="Arial"/>
          <w:sz w:val="18"/>
          <w:szCs w:val="18"/>
          <w:color w:val="auto"/>
        </w:rPr>
      </w:pPr>
    </w:p>
    <w:p>
      <w:pPr>
        <w:ind w:left="1320" w:hanging="327"/>
        <w:spacing w:after="0"/>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Lifecycle marketing platform to develop, train, and operationalize personalization algorithms; and</w:t>
      </w:r>
    </w:p>
    <w:p>
      <w:pPr>
        <w:spacing w:after="0" w:line="117" w:lineRule="exact"/>
        <w:rPr>
          <w:rFonts w:ascii="Arial" w:cs="Arial" w:eastAsia="Arial" w:hAnsi="Arial"/>
          <w:sz w:val="18"/>
          <w:szCs w:val="18"/>
          <w:color w:val="auto"/>
        </w:rPr>
      </w:pPr>
    </w:p>
    <w:p>
      <w:pPr>
        <w:ind w:left="1320" w:right="480" w:hanging="327"/>
        <w:spacing w:after="0" w:line="246" w:lineRule="auto"/>
        <w:tabs>
          <w:tab w:leader="none" w:pos="1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Campaign management platform to link personalization algorithms with customer-facing touch-points such as website placements, emails, and push notifications among others.</w:t>
      </w:r>
    </w:p>
    <w:p>
      <w:pPr>
        <w:spacing w:after="0" w:line="197" w:lineRule="exact"/>
        <w:rPr>
          <w:sz w:val="20"/>
          <w:szCs w:val="20"/>
          <w:color w:val="auto"/>
        </w:rPr>
      </w:pPr>
    </w:p>
    <w:p>
      <w:pPr>
        <w:ind w:left="780" w:right="780"/>
        <w:spacing w:after="0" w:line="246" w:lineRule="auto"/>
        <w:rPr>
          <w:sz w:val="20"/>
          <w:szCs w:val="20"/>
          <w:color w:val="auto"/>
        </w:rPr>
      </w:pPr>
      <w:r>
        <w:rPr>
          <w:rFonts w:ascii="Arial" w:cs="Arial" w:eastAsia="Arial" w:hAnsi="Arial"/>
          <w:sz w:val="18"/>
          <w:szCs w:val="18"/>
          <w:color w:val="auto"/>
        </w:rPr>
        <w:t>Our personalization efforts are only beginning. We believe that these investments will yield high returns around customer engagement, retention, and lifetime value in the years to come.</w:t>
      </w:r>
    </w:p>
    <w:p>
      <w:pPr>
        <w:spacing w:after="0" w:line="84" w:lineRule="exact"/>
        <w:rPr>
          <w:sz w:val="20"/>
          <w:szCs w:val="20"/>
          <w:color w:val="auto"/>
        </w:rPr>
      </w:pPr>
    </w:p>
    <w:p>
      <w:pPr>
        <w:ind w:left="760" w:right="20" w:hanging="320"/>
        <w:spacing w:after="0" w:line="238"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subscription offering. </w:t>
      </w:r>
      <w:r>
        <w:rPr>
          <w:rFonts w:ascii="Arial" w:cs="Arial" w:eastAsia="Arial" w:hAnsi="Arial"/>
          <w:sz w:val="18"/>
          <w:szCs w:val="18"/>
          <w:color w:val="auto"/>
        </w:rPr>
        <w:t>In early 2021, we launched a direct-to-consumer subscription in beta testing. In its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format, the subscription offering is similar to our Team plan offering focused on professional skills. Our objective is to provide consumers ongoing access to the platform’s best content for a monthly fee. We believe there is broad demand for learning subscriptions, and we are uniquely positioned to provide a compelling and highly competitive product. We plan to test and launch additional forms of subscriptions including bootcamp-style courses with assessments and labs to help learners reach new levels of proficiency. We believe that consumer subscriptions, in the absence of employer-sponsored access, will increase the retention of individual learners who seek to continuously acquire new skills and value greater ongoing access to content. Offering different subscription packages based on area of expertise or added features, for example, will allow us to capture different types of individual learners at different price points, all while increasing their engagement with Udemy.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geographic footprint through:</w:t>
      </w:r>
    </w:p>
    <w:p>
      <w:pPr>
        <w:spacing w:after="0" w:line="117" w:lineRule="exact"/>
        <w:rPr>
          <w:sz w:val="20"/>
          <w:szCs w:val="20"/>
          <w:color w:val="auto"/>
        </w:rPr>
      </w:pPr>
    </w:p>
    <w:p>
      <w:pPr>
        <w:ind w:left="760" w:right="120" w:hanging="320"/>
        <w:spacing w:after="0" w:line="242"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Organic expansion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courses are discoverable everywhere in the world. We enter new countries via courses taught in</w:t>
      </w:r>
      <w:r>
        <w:rPr>
          <w:rFonts w:ascii="Arial" w:cs="Arial" w:eastAsia="Arial" w:hAnsi="Arial"/>
          <w:sz w:val="18"/>
          <w:szCs w:val="18"/>
          <w:i w:val="1"/>
          <w:iCs w:val="1"/>
          <w:color w:val="auto"/>
        </w:rPr>
        <w:t xml:space="preserve"> </w:t>
      </w:r>
      <w:r>
        <w:rPr>
          <w:rFonts w:ascii="Arial" w:cs="Arial" w:eastAsia="Arial" w:hAnsi="Arial"/>
          <w:sz w:val="18"/>
          <w:szCs w:val="18"/>
          <w:color w:val="auto"/>
        </w:rPr>
        <w:t>English, as they appeal to a broad audience globally. As the platform grows in popularity through organic levers such as word of mouth or search engine optimization, local instructors create courses in their native languages, increasing Udemy’s appeal to learners fluent in those languages. As of June 30, 2021, we offered over 70,000 courses in languages other than English. We will continue to invest in our technology and our brand to drive search engine optimization and word of mouth in order to continue the organic growth.</w:t>
      </w:r>
    </w:p>
    <w:p>
      <w:pPr>
        <w:spacing w:after="0" w:line="88" w:lineRule="exact"/>
        <w:rPr>
          <w:rFonts w:ascii="Arial" w:cs="Arial" w:eastAsia="Arial" w:hAnsi="Arial"/>
          <w:sz w:val="18"/>
          <w:szCs w:val="18"/>
          <w:color w:val="auto"/>
        </w:rPr>
      </w:pPr>
    </w:p>
    <w:p>
      <w:pPr>
        <w:ind w:left="760" w:right="120" w:hanging="320"/>
        <w:spacing w:after="0" w:line="239"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Executing our international playbook</w:t>
      </w:r>
      <w:r>
        <w:rPr>
          <w:rFonts w:ascii="Arial" w:cs="Arial" w:eastAsia="Arial" w:hAnsi="Arial"/>
          <w:sz w:val="18"/>
          <w:szCs w:val="18"/>
          <w:color w:val="auto"/>
        </w:rPr>
        <w:t>. As the content catalog expands in each country, we start investing in additional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levers such as local payment methods, local currency pricing, and local marketing. These investments drive higher traffic, enrollments, and revenue for our direct-to-consumer business, as well as leads for UB. Once we reach a steady volume of leads to UB, we build in-country go-to-market sales teams to grow and expand our UB customer base. We also may partner with local companies that have an interest in growing the adult learning market in their countries. We have executed our international playbook in a number of countries, including Brazil, India, and Japan, and we are in the process of similar investments in Indonesia, Mexico, South Africa, and other key geographic markets. Our international playbook will continue to allow us to build a targeted list of countries in which we anticipate we will expand with a high likelihood of success.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30"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market for developing skills is rapidly growing and highly competitive. We compete for individual learners, enterprise customers, and instructors on the following basis:</w:t>
      </w:r>
    </w:p>
    <w:p>
      <w:pPr>
        <w:spacing w:after="0" w:line="84" w:lineRule="exact"/>
        <w:rPr>
          <w:sz w:val="20"/>
          <w:szCs w:val="20"/>
          <w:color w:val="auto"/>
        </w:rPr>
      </w:pPr>
    </w:p>
    <w:p>
      <w:pPr>
        <w:ind w:left="760" w:right="40" w:hanging="320"/>
        <w:spacing w:after="0" w:line="250"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Learners</w:t>
      </w:r>
      <w:r>
        <w:rPr>
          <w:rFonts w:ascii="Arial" w:cs="Arial" w:eastAsia="Arial" w:hAnsi="Arial"/>
          <w:sz w:val="18"/>
          <w:szCs w:val="18"/>
          <w:color w:val="auto"/>
        </w:rPr>
        <w:t>: We compete for learners based on our course catalog, instructors, and learning tools. We believe that we are positioned</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favorably because of our ability to attract instructors and support them with data and insights to create and refresh high-quality content.</w:t>
      </w:r>
    </w:p>
    <w:p>
      <w:pPr>
        <w:spacing w:after="0" w:line="82" w:lineRule="exact"/>
        <w:rPr>
          <w:rFonts w:ascii="Arial" w:cs="Arial" w:eastAsia="Arial" w:hAnsi="Arial"/>
          <w:sz w:val="18"/>
          <w:szCs w:val="18"/>
          <w:color w:val="auto"/>
        </w:rPr>
      </w:pPr>
    </w:p>
    <w:p>
      <w:pPr>
        <w:ind w:left="760" w:right="240" w:hanging="320"/>
        <w:spacing w:after="0" w:line="260"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Udemy Business customers</w:t>
      </w:r>
      <w:r>
        <w:rPr>
          <w:rFonts w:ascii="Arial" w:cs="Arial" w:eastAsia="Arial" w:hAnsi="Arial"/>
          <w:sz w:val="17"/>
          <w:szCs w:val="17"/>
          <w:color w:val="auto"/>
        </w:rPr>
        <w:t>: We compete for customers based on our up-to-date content, the breadth and depth of that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across the full range of core business functions, and advanced product features that optimize self-paced learning and enable organizations to effectively drive programmatic learning. We believe that we are positioned favorably because of the synergies between our consumer and UB businesses, and the strategic partnerships we form with our UB customers that help them drive engagement in their learning programs and, in turn, business outcomes like employee retention and corporate productivity.</w:t>
      </w:r>
    </w:p>
    <w:p>
      <w:pPr>
        <w:spacing w:after="0" w:line="75" w:lineRule="exact"/>
        <w:rPr>
          <w:rFonts w:ascii="Arial" w:cs="Arial" w:eastAsia="Arial" w:hAnsi="Arial"/>
          <w:sz w:val="17"/>
          <w:szCs w:val="17"/>
          <w:color w:val="auto"/>
        </w:rPr>
      </w:pPr>
    </w:p>
    <w:p>
      <w:pPr>
        <w:ind w:left="760" w:right="440" w:hanging="320"/>
        <w:spacing w:after="0" w:line="250"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Instructors</w:t>
      </w:r>
      <w:r>
        <w:rPr>
          <w:rFonts w:ascii="Arial" w:cs="Arial" w:eastAsia="Arial" w:hAnsi="Arial"/>
          <w:sz w:val="18"/>
          <w:szCs w:val="18"/>
          <w:color w:val="auto"/>
        </w:rPr>
        <w:t>: We compete for instructors based on our ability to provide monetization opportunities. We believe that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positioned favorably because of our ability to attract learners across the globe, provide data and insights to help instructors to retain learners, and offer an attractive shared revenue model.</w:t>
      </w:r>
    </w:p>
    <w:p>
      <w:pPr>
        <w:spacing w:after="0" w:line="19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believe the competitive landscape is not well-suited to address the growing need for people to develop skills that are continuously and rapidly evolving. The traditional publisher model can be slow moving and reactive. Other niche marketplace models cannot serve the learner of today who is focused on developing both the hard and soft skills. We expect to gain market share as our marketplace platform offers the breadth of skills needed by learners and organizations. Competition can include:</w:t>
      </w:r>
    </w:p>
    <w:p>
      <w:pPr>
        <w:spacing w:after="0" w:line="110" w:lineRule="exact"/>
        <w:rPr>
          <w:sz w:val="20"/>
          <w:szCs w:val="20"/>
          <w:color w:val="auto"/>
        </w:rPr>
      </w:pPr>
    </w:p>
    <w:p>
      <w:pPr>
        <w:ind w:left="760" w:hanging="320"/>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Corporate training offerings, such as those from Pluralsight, LinkedIn Learning, and Skillsoft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Direct-to-consumer training offerings, such as those from Coursera and edX</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Specialized content training offerings, such as those from A Cloud Guru and Skillshare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Online free resources used to gather and share knowledge and skills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our business model offers the following advantages over these competitors:</w:t>
      </w:r>
    </w:p>
    <w:p>
      <w:pPr>
        <w:spacing w:after="0" w:line="117" w:lineRule="exact"/>
        <w:rPr>
          <w:sz w:val="20"/>
          <w:szCs w:val="20"/>
          <w:color w:val="auto"/>
        </w:rPr>
      </w:pPr>
    </w:p>
    <w:p>
      <w:pPr>
        <w:ind w:left="760" w:hanging="320"/>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marketplace model that has created a vibrant ecosystem of individual learners, organizations, and instructors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learner base of over 44 million individuals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network of over 65,000 instructors, many of whom are expert practitioners in their fields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data and analytics platform that continuously improves as we scale</w:t>
      </w:r>
    </w:p>
    <w:p>
      <w:pPr>
        <w:spacing w:after="0" w:line="117" w:lineRule="exact"/>
        <w:rPr>
          <w:rFonts w:ascii="Arial" w:cs="Arial" w:eastAsia="Arial" w:hAnsi="Arial"/>
          <w:sz w:val="18"/>
          <w:szCs w:val="18"/>
          <w:color w:val="auto"/>
        </w:rPr>
      </w:pPr>
    </w:p>
    <w:p>
      <w:pPr>
        <w:ind w:left="760" w:right="200" w:hanging="320"/>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provide individual learners with relevant content based on their interests and objectives, with over 183,000 courses covering a broad array of subjects and over 70,000 courses in local languages as of June 30, 2021</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global presence and brand recognition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Sales and Marketing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Consumers</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direct-to-consumer marketing strategy focuses on brand and performance marketing, strategic partnerships, and lifecycle monetization. Brand marketing increases awareness while performance marketing drives incremental traffic among potential learners. The strength of our community and brand drives significant organic acquisition, with the majority of our customers coming from unpaid channels. Our strategic partnerships aim to</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780"/>
        <w:spacing w:after="0"/>
        <w:rPr>
          <w:sz w:val="20"/>
          <w:szCs w:val="20"/>
          <w:color w:val="auto"/>
        </w:rPr>
      </w:pPr>
      <w:r>
        <w:rPr>
          <w:rFonts w:ascii="Arial" w:cs="Arial" w:eastAsia="Arial" w:hAnsi="Arial"/>
          <w:sz w:val="18"/>
          <w:szCs w:val="18"/>
          <w:color w:val="auto"/>
        </w:rPr>
        <w:t>increase reach by making Udemy courses discoverable on third-party websites and mobile apps. Finally, lifecycle marketing and monetization focuses on building personalization at scale, increasing learner retention and long-term value, optimizing prices and promotions, and testing new monetization models.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Udemy Business</w:t>
      </w:r>
    </w:p>
    <w:p>
      <w:pPr>
        <w:spacing w:after="0" w:line="126" w:lineRule="exact"/>
        <w:rPr>
          <w:sz w:val="20"/>
          <w:szCs w:val="20"/>
          <w:color w:val="auto"/>
        </w:rPr>
      </w:pPr>
    </w:p>
    <w:p>
      <w:pPr>
        <w:jc w:val="both"/>
        <w:ind w:left="120" w:right="300"/>
        <w:spacing w:after="0"/>
        <w:rPr>
          <w:sz w:val="20"/>
          <w:szCs w:val="20"/>
          <w:color w:val="auto"/>
        </w:rPr>
      </w:pPr>
      <w:r>
        <w:rPr>
          <w:rFonts w:ascii="Arial" w:cs="Arial" w:eastAsia="Arial" w:hAnsi="Arial"/>
          <w:sz w:val="18"/>
          <w:szCs w:val="18"/>
          <w:color w:val="auto"/>
        </w:rPr>
        <w:t>Our consumer ecosystem helps drive UB marketing efficiency and provides leads for prospective UB customers. As we expand to new regions and countries, we first market to organizations to generate brand awareness and interest in our UB offering, and then our sales team identifies and engages with potential customers.</w:t>
      </w:r>
    </w:p>
    <w:p>
      <w:pPr>
        <w:spacing w:after="0" w:line="20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We sell to our UB customers both directly, through our sales teams, and indirectly, through third-party channels. Once an organization signs on, our customer success team partners closely with that organization to track progress toward business outcomes and determine opportunities for expanding usage.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Instructors</w:t>
      </w:r>
    </w:p>
    <w:p>
      <w:pPr>
        <w:spacing w:after="0" w:line="126"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Global experts learn about Udemy in a variety of ways including awareness campaigns and by coming to the platform as learners. Once onboard, our platform provides instructors with insights into learner demand and financial opportunity, incentivizing them to create new course content. Our Instructor Partnership team works closely with our top instructors to share plans and develop new products and services.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policies for learners and instructors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Terms of Use</w:t>
      </w:r>
    </w:p>
    <w:p>
      <w:pPr>
        <w:spacing w:after="0" w:line="126"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Our Terms of Use cover the basic rules for all account-holders on our platform, including provisions on how a user may open an account and enroll in courses, the rights of learners around refunds and lifetime access, rules for user-generated content and user behavior, the terms of the license from Udemy to learners, and certain other disclaimers and general legal terms.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Instructor Terms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Instructor Terms cover instructor-specific features of our platform. This includes obligations around content quality (requiring accuracy and sufficient expertise), respectful behavior (prohibiting inappropriate, offensive, or infringing content), and use of the Udemy platform (prohibiting unauthorized outreach to learners). The Instructor Terms also include provisions on the license that instructors grant to Udemy when uploading content, instructors’ indirect relationship with learners, policies for course pricing, policies for instructor royalty payments, and other general legal terms.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&amp; Safety policies</w:t>
      </w:r>
    </w:p>
    <w:p>
      <w:pPr>
        <w:spacing w:after="0" w:line="126"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Our Trust &amp; Safety policies detail the behaviors that are prohibited or required of our platform’s users. These include behavior rules for learners and instructors, a list of prohibited course topics, quality standards for course descriptions and content, rules for the use of Udemy’s marketing and communications features, and policies regarding our instructor verification process.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Technology and research and development</w:t>
      </w:r>
    </w:p>
    <w:p>
      <w:pPr>
        <w:spacing w:after="0" w:line="130"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Our technology consists of a global distribution platform designed to support all parties in the learning ecosystem. It features a modern architecture designed to support our continued growth at scale. Our goal is to provide world-class experiences across most screens and devices.</w:t>
      </w:r>
    </w:p>
    <w:p>
      <w:pPr>
        <w:spacing w:after="0" w:line="203" w:lineRule="exact"/>
        <w:rPr>
          <w:sz w:val="20"/>
          <w:szCs w:val="20"/>
          <w:color w:val="auto"/>
        </w:rPr>
      </w:pPr>
    </w:p>
    <w:p>
      <w:pPr>
        <w:ind w:left="120" w:right="80"/>
        <w:spacing w:after="0" w:line="257" w:lineRule="auto"/>
        <w:rPr>
          <w:sz w:val="20"/>
          <w:szCs w:val="20"/>
          <w:color w:val="auto"/>
        </w:rPr>
      </w:pPr>
      <w:r>
        <w:rPr>
          <w:rFonts w:ascii="Arial" w:cs="Arial" w:eastAsia="Arial" w:hAnsi="Arial"/>
          <w:sz w:val="17"/>
          <w:szCs w:val="17"/>
          <w:color w:val="auto"/>
        </w:rPr>
        <w:t>We have a cross-functional, agile team of data scientists, ML engineers, software engineers, and product managers focused on continuously improving our platform to address evolving customer needs. Thus far, the team has built algorithmic and model-driven solutions at scale to provide the following capabilities: personalized and differentiated experiences for all learners, comprehensive instructor tools for content delivery and student engagement, and insights dashboards for enterprises to track employee training progress.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We have built a closed-loop user journey on top of a robust, enterprise-grade technology platform. Through data collection over time, we are able to continue perfecting our learner personalization. Personalized learner experiences begin with offering the correct product and pricing to users through marketing, multi-offering communications, and customer data platforms. Using ML-based tools, we then drive a highly personalized user experience for our learners that includes optimizing the offering, time, and frequency of each communication, recommending relevant content based on learner objectives and preferences, and offering tailored promotions to drive retention and engagement. We also capture learner interest, goals, and searches at different times during the user journey so we can provide the best possible recommendations for courses and learning paths.</w:t>
      </w:r>
    </w:p>
    <w:p>
      <w:pPr>
        <w:spacing w:after="0" w:line="2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continuously gather market research and leverage user data to optimize the content available on our platform. Through our deep understanding of learner needs, we aim to deliver the right learning content, packaged the right way, and offered at the right time. The data gathered also provides powerful insight tools and feedback to our instructors so they can improve their courses and ultimately preserve the high quality of our overall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Human capital resources</w:t>
      </w:r>
    </w:p>
    <w:p>
      <w:pPr>
        <w:spacing w:after="0" w:line="1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believe we have a world-class culture with a highly engaged global employee base. We have achieved 4.5 of 5.0 stars on Glassdoor, a platform which represents voluntary reviews among current and former employees, as of June 30, 2021. Additionally, our company has been recognized as a Bay Area Best Place to Work by San Francisco Business Times and as a #1 employer in Turkey on the Great Place to Work lists for three years in a row. As reflected in our annual employee survey, our employee engagement score is 83%, which is 12% above benchmark for companies at our size and stage.</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are proud of our internal focus on learning and development and leverage the UB platform to drive upskilling and career growth within our organization. “Always Learning” is a key value for our company. We hold monthly “Drop Everything and Learn” hours to provide employees with dedicated time they can use to learn professional or personal skills offered on our platform. We also use UB to provide our team with access to a wide range of content, from important all-company meetings to a variety of management training courses developed by our own Learning &amp; Development team.</w:t>
      </w:r>
    </w:p>
    <w:p>
      <w:pPr>
        <w:spacing w:after="0" w:line="202"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Our mission-driven approach to make knowledge opportunities accessible to learners around the world helps drive recruitment to our team. Udemy is the only digital learning company included in the Fortune 2020 Change the World list, and our employees enjoy the opportunity to be a part of a socially conscious brand benefiting all constituents. Overall, we are a leader in gender diversity among companies like ours, with 43% of our global workforce, 31% of our senior leadership, and 27% of our technical workforce identifying as women as of June 30, 2021.</w:t>
      </w:r>
    </w:p>
    <w:p>
      <w:pPr>
        <w:spacing w:after="0" w:line="202"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As of June 30, 2021, we had 1,013 full-time employees. None of our employees are represented by unions. We consider the relationship with our employees to be strong and have not experienced interruptions of operations due to labor disagreements.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environmental, social, and governance efforts</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a mission-driven company, we strive to create a positive social and economic impact, balancing the needs of our learners, instructors, customers, employees, investors, and the environment. We enable anyone from anywhere in the world to create a course and to market it to consumer and enterprise learners. Our platform helps novices learn from experienced practitioners. Access and inclusion are at the very core of our business model. We believe that providing access to learning at scale supports the United Nations Sustainable Development Goals, or SDGs, including:</w:t>
      </w:r>
    </w:p>
    <w:p>
      <w:pPr>
        <w:spacing w:after="0" w:line="90" w:lineRule="exact"/>
        <w:rPr>
          <w:sz w:val="20"/>
          <w:szCs w:val="20"/>
          <w:color w:val="auto"/>
        </w:rPr>
      </w:pPr>
    </w:p>
    <w:p>
      <w:pPr>
        <w:ind w:left="760" w:right="80" w:hanging="320"/>
        <w:spacing w:after="0" w:line="296" w:lineRule="auto"/>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Goal 4 – Lifelong Learning</w:t>
      </w:r>
      <w:r>
        <w:rPr>
          <w:rFonts w:ascii="Arial" w:cs="Arial" w:eastAsia="Arial" w:hAnsi="Arial"/>
          <w:sz w:val="17"/>
          <w:szCs w:val="17"/>
          <w:color w:val="auto"/>
        </w:rPr>
        <w:t>: We provide inclusive and equitable quality training and promote lifelong learning opportunities for all.</w:t>
      </w:r>
      <w:r>
        <w:rPr>
          <w:rFonts w:ascii="Arial" w:cs="Arial" w:eastAsia="Arial" w:hAnsi="Arial"/>
          <w:sz w:val="17"/>
          <w:szCs w:val="17"/>
          <w:i w:val="1"/>
          <w:iCs w:val="1"/>
          <w:color w:val="auto"/>
        </w:rPr>
        <w:t xml:space="preserve"> </w:t>
      </w:r>
      <w:r>
        <w:rPr>
          <w:rFonts w:ascii="Arial" w:cs="Arial" w:eastAsia="Arial" w:hAnsi="Arial"/>
          <w:sz w:val="17"/>
          <w:szCs w:val="17"/>
          <w:color w:val="auto"/>
        </w:rPr>
        <w:t>38 million cumulative learners consumed almost 11 billion minutes of easy-to-access quality learning on our platform during 2020.</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right="80" w:hanging="320"/>
        <w:spacing w:after="0" w:line="242"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Goal 8 – Decent Work and Economic Growth</w:t>
      </w:r>
      <w:r>
        <w:rPr>
          <w:rFonts w:ascii="Arial" w:cs="Arial" w:eastAsia="Arial" w:hAnsi="Arial"/>
          <w:sz w:val="18"/>
          <w:szCs w:val="18"/>
          <w:color w:val="auto"/>
        </w:rPr>
        <w:t>: During 2020, our paid instructors earned $161.4 million for their courses,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paid instructor earnings of $2,950 and over 9,000 global instructors receiving more than $1,000 in earnings. In the six months ended June 30, 2021, our paid instructors earned $86.8 million from Udemy for their courses, with average paid instructor earnings of $1,574 and over 6,000 global instructors receiving more than $1,000 in earnings. We enable individuals from around the world to create new income streams and support their families and local communities.</w:t>
      </w:r>
    </w:p>
    <w:p>
      <w:pPr>
        <w:spacing w:after="0" w:line="90" w:lineRule="exact"/>
        <w:rPr>
          <w:rFonts w:ascii="Arial" w:cs="Arial" w:eastAsia="Arial" w:hAnsi="Arial"/>
          <w:sz w:val="18"/>
          <w:szCs w:val="18"/>
          <w:color w:val="auto"/>
        </w:rPr>
      </w:pPr>
    </w:p>
    <w:p>
      <w:pPr>
        <w:ind w:left="760" w:right="160" w:hanging="320"/>
        <w:spacing w:after="0" w:line="241"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Goal 10 – Reduced Inequalities</w:t>
      </w:r>
      <w:r>
        <w:rPr>
          <w:rFonts w:ascii="Arial" w:cs="Arial" w:eastAsia="Arial" w:hAnsi="Arial"/>
          <w:sz w:val="18"/>
          <w:szCs w:val="18"/>
          <w:color w:val="auto"/>
        </w:rPr>
        <w:t>: Any individual can be an instructor on our platform regardless of formal academic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platform eliminates barriers to teaching and enables practitioners to spread their knowledge globally. Learners tap our platform for affordable upskilling that unlock career opportunities regardless of prior formal education and geography. Essentially anyone can use our platform and learn. We offer over 17,700 free courses and our instructors distribute millions of instructor coupons globally to encourage individuals to try their courses for free. In 2020, 78% of consumer learner course enrollments on our platform were free.</w:t>
      </w:r>
    </w:p>
    <w:p>
      <w:pPr>
        <w:spacing w:after="0" w:line="202"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Beyond these United Nations SDGs, we reference the Sustainability Accounting Standards Board, or the SASB, in our impact reporting. An independent institution, the SASB provides a globally recognized framework for sustainability reporting across companies and industries.</w:t>
      </w:r>
    </w:p>
    <w:p>
      <w:pPr>
        <w:spacing w:after="0" w:line="20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In July 2021, we received an ESG Risk Rating from Sustainalytics, a Morningstar company and an independent provider of ESG and corporate governance ratings, research and analysis. As of July 2021, our ESG Risk Rating placed us in the first percentile in the internet software and services sub-industry assessed by Sustainalytics.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ESG goals and policies</w:t>
      </w:r>
    </w:p>
    <w:p>
      <w:pPr>
        <w:spacing w:after="0" w:line="130"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We are committed to pursuing sustainable business practices and have implemented ESG policies and goals throughout our company to fulfill this commitment.</w:t>
      </w:r>
    </w:p>
    <w:p>
      <w:pPr>
        <w:spacing w:after="0" w:line="175"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b w:val="1"/>
          <w:bCs w:val="1"/>
          <w:i w:val="1"/>
          <w:iCs w:val="1"/>
          <w:color w:val="auto"/>
        </w:rPr>
        <w:t>Environmental</w:t>
      </w:r>
      <w:r>
        <w:rPr>
          <w:rFonts w:ascii="Arial" w:cs="Arial" w:eastAsia="Arial" w:hAnsi="Arial"/>
          <w:sz w:val="17"/>
          <w:szCs w:val="17"/>
          <w:color w:val="auto"/>
        </w:rPr>
        <w:t>: We actively manage the environmental footprint of our operations. We use both hosted data centers and cloud computing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for our operations. In our hosted data center environments, we use equipment that meets energy efficiency standards set forth by the American Society of Heating, Refrigerating and Air-Conditioning Engineers and by the Electronic Product Environmental Assessment Tool. Our cloud computing provider intends to power its operations with 100% renewable energy by 2025. We prioritize selection of highly rated Leadership in Energy and Environmental Design or comparable standards design in leasing office space.</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b w:val="1"/>
          <w:bCs w:val="1"/>
          <w:i w:val="1"/>
          <w:iCs w:val="1"/>
          <w:color w:val="auto"/>
        </w:rPr>
        <w:t>Social</w:t>
      </w:r>
      <w:r>
        <w:rPr>
          <w:rFonts w:ascii="Arial" w:cs="Arial" w:eastAsia="Arial" w:hAnsi="Arial"/>
          <w:sz w:val="17"/>
          <w:szCs w:val="17"/>
          <w:color w:val="auto"/>
        </w:rPr>
        <w:t>: Our business impacts society through our relationships with our varied stakeholders, but it starts with our employees. 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importance of fostering a diverse, inclusive, and safe workplace, recognizing that through diversity and inclusiveness we gain a variety of perspectives, views, and ideas that strengthen our ability to strategize, communicate, and deliver on our mission. Overall, as of December 31, 2020, 43% of our global workforce, 31% of our senior leadership, and 27% of our technical workforce identified as women. We established a board of directors that values diversity and representative governance. We are committed to increasing diversity and representation through our diversity, inclusion, equity, and belonging initiatives, and to disclosing our diversity statistics on an annual basis.</w:t>
      </w:r>
    </w:p>
    <w:p>
      <w:pPr>
        <w:spacing w:after="0" w:line="18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believe that building a better business means engaging with the communities in which we work and invest. We encourage and support community engagement. Our community program uses a global-and-local approach and is driven by the community involvement teams in many of our offices. Projects are organized locally and partner with various service organizations within our communities dedicated to causes encompassing public service, learning, environmental efforts, healthcare, and military veterans. We established a formalized charitable giving program with an employee matching component that contributed to over 50 charities since its inception.</w:t>
      </w:r>
    </w:p>
    <w:p>
      <w:pPr>
        <w:spacing w:after="0" w:line="202"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The Udemy Free Resource Center drove more than six million enrollments to over 700 free courses designed to enable learners to acquire the skills they need to navigate the COVID-19 pandemic.</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We created a governance structure to promote responsibility and accountability for ESG matters across our company.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single-class capital structure adheres to best practices in corporate governance. The nominating and corporate governance committee of the board of directors will oversee ESG matters pursuant to its charter. For more information, see “Management—Board committees— Nominating and corporate governance committee.” Prior to the completion of this offering, we will establish an employee-led ESG committee, with participation from executive management and senior members of our operations, finance, marketing, people, and legal teams. Our ESG committee will meet quarterly and report to executive management and to the board of directors.</w:t>
      </w:r>
    </w:p>
    <w:p>
      <w:pPr>
        <w:spacing w:after="0" w:line="20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Data security and privacy are critically important to our operations. We have implemented extensive security practices designed to ensure appropriate physical, technical, and administrative safeguards to protect customer and employee data. This program includes a data registry and a data map of the systems where customer information is stored, and consumer-facing privacy policies that describe our data and privacy practices. The audit committee of the board of directors will oversee cybersecurity matters pursuant to its charter. For more information, see “Management—Board committees—Audit committee.”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Properties</w:t>
      </w:r>
    </w:p>
    <w:p>
      <w:pPr>
        <w:spacing w:after="0" w:line="13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corporate headquarters, consisting of approximately 59,000 square feet of office space in San Francisco, California, is leased through 2024, with an option to extend until 2029. We also lease additional office space in locations around the world, including Mountain View, California; Denver, Colorado; Ankara, Turkey; and Dublin, Ireland. We also maintain geographic hubs without office space in Austin, Texas; Boston, Massachusetts; Melbourne, Australia; New Delhi, India; Istanbul, Turkey; and São Paulo, Brazil. We believe that our facilities are suitable to meet our current needs. We also anticipate that suitable additional or alternative space will be available at commercially reasonable terms for future expansion.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California class action complaint</w:t>
      </w:r>
    </w:p>
    <w:p>
      <w:pPr>
        <w:spacing w:after="0" w:line="108"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 xml:space="preserve">In August 2021, a putative class action complaint captioned </w:t>
      </w:r>
      <w:r>
        <w:rPr>
          <w:rFonts w:ascii="Arial" w:cs="Arial" w:eastAsia="Arial" w:hAnsi="Arial"/>
          <w:sz w:val="18"/>
          <w:szCs w:val="18"/>
          <w:i w:val="1"/>
          <w:iCs w:val="1"/>
          <w:color w:val="auto"/>
        </w:rPr>
        <w:t>Williams v. Udemy, Inc.</w:t>
      </w:r>
      <w:r>
        <w:rPr>
          <w:rFonts w:ascii="Arial" w:cs="Arial" w:eastAsia="Arial" w:hAnsi="Arial"/>
          <w:sz w:val="18"/>
          <w:szCs w:val="18"/>
          <w:color w:val="auto"/>
        </w:rPr>
        <w:t>, Case No. 3:21-CV-06489, was filed against us in the U.S. District Court for the Northern District of California alleging violations of California’s unfair competition and false advertising statutes as well as the California Consumer Legal Remedies Act in connection with the promotional “strike-through” pricing for courses offered on our platform, alleging that the reference prices used for comparison purposes are false or misleading. The complaint seeks injunctive relief, unspecified damages, restitution and disgorgement of profits. We are in the process of investigating the claims alleged in the complaint and have not yet answered. We intend to vigorously defend ourselves in this matter.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are subject to other legal proceedings and claims that arise in the ordinary course of business from time to time, as well as governmental and other regulatory investigations and proceedings. In addition, third parties may from time to time assert claims against us in the form of letters and other communications. We are not currently a party to any legal proceedings that, if determined adversely to us, would, in our opinion, have a material adverse effect on our business, financial condition, results of operations, or cash flows. Future litigation may be necessary to defend ourselves and our business partners and to determine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Management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names and positions of our executive officers and directors and their ages as of October 15, 2021:</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58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48"/>
        </w:trPr>
        <w:tc>
          <w:tcPr>
            <w:tcW w:w="380" w:type="dxa"/>
            <w:vAlign w:val="bottom"/>
            <w:tcBorders>
              <w:top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5940" w:type="dxa"/>
            <w:vAlign w:val="bottom"/>
          </w:tcPr>
          <w:p>
            <w:pPr>
              <w:spacing w:after="0"/>
              <w:rPr>
                <w:sz w:val="4"/>
                <w:szCs w:val="4"/>
                <w:color w:val="auto"/>
              </w:rPr>
            </w:pPr>
          </w:p>
        </w:tc>
      </w:tr>
      <w:tr>
        <w:trPr>
          <w:trHeight w:val="162"/>
        </w:trPr>
        <w:tc>
          <w:tcPr>
            <w:tcW w:w="4080" w:type="dxa"/>
            <w:vAlign w:val="bottom"/>
            <w:gridSpan w:val="2"/>
            <w:shd w:val="clear" w:color="auto" w:fill="DDDDDD"/>
          </w:tcPr>
          <w:p>
            <w:pPr>
              <w:spacing w:after="0"/>
              <w:rPr>
                <w:sz w:val="20"/>
                <w:szCs w:val="20"/>
                <w:color w:val="auto"/>
              </w:rPr>
            </w:pPr>
            <w:r>
              <w:rPr>
                <w:rFonts w:ascii="Arial" w:cs="Arial" w:eastAsia="Arial" w:hAnsi="Arial"/>
                <w:sz w:val="14"/>
                <w:szCs w:val="14"/>
                <w:b w:val="1"/>
                <w:bCs w:val="1"/>
                <w:i w:val="1"/>
                <w:iCs w:val="1"/>
                <w:color w:val="auto"/>
              </w:rPr>
              <w:t>Executive officers:</w:t>
            </w:r>
          </w:p>
        </w:tc>
        <w:tc>
          <w:tcPr>
            <w:tcW w:w="26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5940" w:type="dxa"/>
            <w:vAlign w:val="bottom"/>
            <w:shd w:val="clear" w:color="auto" w:fill="DDDDDD"/>
          </w:tcPr>
          <w:p>
            <w:pPr>
              <w:spacing w:after="0"/>
              <w:rPr>
                <w:sz w:val="14"/>
                <w:szCs w:val="14"/>
                <w:color w:val="auto"/>
              </w:rPr>
            </w:pPr>
          </w:p>
        </w:tc>
      </w:tr>
      <w:tr>
        <w:trPr>
          <w:trHeight w:val="162"/>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Gregg Coccari</w:t>
            </w:r>
          </w:p>
        </w:tc>
        <w:tc>
          <w:tcPr>
            <w:tcW w:w="2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President, Chief Executive Officer and Chairperson of the Board of Directors</w:t>
            </w:r>
          </w:p>
        </w:tc>
      </w:tr>
      <w:tr>
        <w:trPr>
          <w:trHeight w:val="162"/>
        </w:trPr>
        <w:tc>
          <w:tcPr>
            <w:tcW w:w="4080" w:type="dxa"/>
            <w:vAlign w:val="bottom"/>
            <w:gridSpan w:val="2"/>
            <w:shd w:val="clear" w:color="auto" w:fill="DDDDDD"/>
          </w:tcPr>
          <w:p>
            <w:pPr>
              <w:ind w:left="260"/>
              <w:spacing w:after="0"/>
              <w:rPr>
                <w:sz w:val="20"/>
                <w:szCs w:val="20"/>
                <w:color w:val="auto"/>
              </w:rPr>
            </w:pPr>
            <w:r>
              <w:rPr>
                <w:rFonts w:ascii="Arial" w:cs="Arial" w:eastAsia="Arial" w:hAnsi="Arial"/>
                <w:sz w:val="14"/>
                <w:szCs w:val="14"/>
                <w:color w:val="auto"/>
              </w:rPr>
              <w:t>Sarah Blanchard</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Chief Financial Officer</w:t>
            </w:r>
          </w:p>
        </w:tc>
      </w:tr>
      <w:tr>
        <w:trPr>
          <w:trHeight w:val="162"/>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Velayudhan (Venu) Venugopal</w:t>
            </w:r>
          </w:p>
        </w:tc>
        <w:tc>
          <w:tcPr>
            <w:tcW w:w="2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Chief Technology Officer</w:t>
            </w:r>
          </w:p>
        </w:tc>
      </w:tr>
      <w:tr>
        <w:trPr>
          <w:trHeight w:val="162"/>
        </w:trPr>
        <w:tc>
          <w:tcPr>
            <w:tcW w:w="4080" w:type="dxa"/>
            <w:vAlign w:val="bottom"/>
            <w:gridSpan w:val="2"/>
            <w:shd w:val="clear" w:color="auto" w:fill="DDDDDD"/>
          </w:tcPr>
          <w:p>
            <w:pPr>
              <w:ind w:left="260"/>
              <w:spacing w:after="0"/>
              <w:rPr>
                <w:sz w:val="20"/>
                <w:szCs w:val="20"/>
                <w:color w:val="auto"/>
              </w:rPr>
            </w:pPr>
            <w:r>
              <w:rPr>
                <w:rFonts w:ascii="Arial" w:cs="Arial" w:eastAsia="Arial" w:hAnsi="Arial"/>
                <w:sz w:val="14"/>
                <w:szCs w:val="14"/>
                <w:color w:val="auto"/>
              </w:rPr>
              <w:t>Gregory Brown</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President, Udemy Business</w:t>
            </w:r>
          </w:p>
        </w:tc>
      </w:tr>
      <w:tr>
        <w:trPr>
          <w:trHeight w:val="162"/>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Cara Brennan Allamano</w:t>
            </w:r>
          </w:p>
        </w:tc>
        <w:tc>
          <w:tcPr>
            <w:tcW w:w="2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Senior Vice President, People, Places and Learning</w:t>
            </w:r>
          </w:p>
        </w:tc>
      </w:tr>
      <w:tr>
        <w:trPr>
          <w:trHeight w:val="162"/>
        </w:trPr>
        <w:tc>
          <w:tcPr>
            <w:tcW w:w="4080" w:type="dxa"/>
            <w:vAlign w:val="bottom"/>
            <w:gridSpan w:val="2"/>
            <w:shd w:val="clear" w:color="auto" w:fill="DDDDDD"/>
          </w:tcPr>
          <w:p>
            <w:pPr>
              <w:ind w:left="260"/>
              <w:spacing w:after="0"/>
              <w:rPr>
                <w:sz w:val="20"/>
                <w:szCs w:val="20"/>
                <w:color w:val="auto"/>
              </w:rPr>
            </w:pPr>
            <w:r>
              <w:rPr>
                <w:rFonts w:ascii="Arial" w:cs="Arial" w:eastAsia="Arial" w:hAnsi="Arial"/>
                <w:sz w:val="14"/>
                <w:szCs w:val="14"/>
                <w:color w:val="auto"/>
              </w:rPr>
              <w:t>Llibert Argerich</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Senior Vice President, Marketing</w:t>
            </w:r>
          </w:p>
        </w:tc>
      </w:tr>
      <w:tr>
        <w:trPr>
          <w:trHeight w:val="162"/>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Prasad Gune</w:t>
            </w:r>
          </w:p>
        </w:tc>
        <w:tc>
          <w:tcPr>
            <w:tcW w:w="2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Senior Vice President, Product</w:t>
            </w:r>
          </w:p>
        </w:tc>
      </w:tr>
      <w:tr>
        <w:trPr>
          <w:trHeight w:val="162"/>
        </w:trPr>
        <w:tc>
          <w:tcPr>
            <w:tcW w:w="4080" w:type="dxa"/>
            <w:vAlign w:val="bottom"/>
            <w:gridSpan w:val="2"/>
            <w:shd w:val="clear" w:color="auto" w:fill="DDDDDD"/>
          </w:tcPr>
          <w:p>
            <w:pPr>
              <w:spacing w:after="0"/>
              <w:rPr>
                <w:sz w:val="20"/>
                <w:szCs w:val="20"/>
                <w:color w:val="auto"/>
              </w:rPr>
            </w:pPr>
            <w:r>
              <w:rPr>
                <w:rFonts w:ascii="Arial" w:cs="Arial" w:eastAsia="Arial" w:hAnsi="Arial"/>
                <w:sz w:val="14"/>
                <w:szCs w:val="14"/>
                <w:b w:val="1"/>
                <w:bCs w:val="1"/>
                <w:i w:val="1"/>
                <w:iCs w:val="1"/>
                <w:color w:val="auto"/>
              </w:rPr>
              <w:t>Non-employee directors:</w:t>
            </w:r>
          </w:p>
        </w:tc>
        <w:tc>
          <w:tcPr>
            <w:tcW w:w="26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60" w:type="dxa"/>
            <w:vAlign w:val="bottom"/>
            <w:shd w:val="clear" w:color="auto" w:fill="DDDDDD"/>
          </w:tcPr>
          <w:p>
            <w:pPr>
              <w:spacing w:after="0"/>
              <w:rPr>
                <w:sz w:val="14"/>
                <w:szCs w:val="14"/>
                <w:color w:val="auto"/>
              </w:rPr>
            </w:pPr>
          </w:p>
        </w:tc>
        <w:tc>
          <w:tcPr>
            <w:tcW w:w="5940" w:type="dxa"/>
            <w:vAlign w:val="bottom"/>
            <w:shd w:val="clear" w:color="auto" w:fill="DDDDDD"/>
          </w:tcPr>
          <w:p>
            <w:pPr>
              <w:spacing w:after="0"/>
              <w:rPr>
                <w:sz w:val="14"/>
                <w:szCs w:val="14"/>
                <w:color w:val="auto"/>
              </w:rPr>
            </w:pPr>
          </w:p>
        </w:tc>
      </w:tr>
      <w:tr>
        <w:trPr>
          <w:trHeight w:val="162"/>
        </w:trPr>
        <w:tc>
          <w:tcPr>
            <w:tcW w:w="4080" w:type="dxa"/>
            <w:vAlign w:val="bottom"/>
            <w:gridSpan w:val="2"/>
          </w:tcPr>
          <w:p>
            <w:pPr>
              <w:ind w:left="260"/>
              <w:spacing w:after="0" w:line="162" w:lineRule="exact"/>
              <w:rPr>
                <w:sz w:val="20"/>
                <w:szCs w:val="20"/>
                <w:color w:val="auto"/>
              </w:rPr>
            </w:pPr>
            <w:r>
              <w:rPr>
                <w:rFonts w:ascii="Arial" w:cs="Arial" w:eastAsia="Arial" w:hAnsi="Arial"/>
                <w:sz w:val="11"/>
                <w:szCs w:val="11"/>
                <w:color w:val="auto"/>
              </w:rPr>
              <w:t>Eren Bali</w:t>
            </w:r>
            <w:r>
              <w:rPr>
                <w:rFonts w:ascii="Arial" w:cs="Arial" w:eastAsia="Arial" w:hAnsi="Arial"/>
                <w:sz w:val="18"/>
                <w:szCs w:val="18"/>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Director</w:t>
            </w:r>
          </w:p>
        </w:tc>
      </w:tr>
      <w:tr>
        <w:trPr>
          <w:trHeight w:val="162"/>
        </w:trPr>
        <w:tc>
          <w:tcPr>
            <w:tcW w:w="4080" w:type="dxa"/>
            <w:vAlign w:val="bottom"/>
            <w:gridSpan w:val="2"/>
            <w:shd w:val="clear" w:color="auto" w:fill="DDDDDD"/>
          </w:tcPr>
          <w:p>
            <w:pPr>
              <w:ind w:left="260"/>
              <w:spacing w:after="0" w:line="162" w:lineRule="exact"/>
              <w:rPr>
                <w:sz w:val="20"/>
                <w:szCs w:val="20"/>
                <w:color w:val="auto"/>
              </w:rPr>
            </w:pPr>
            <w:r>
              <w:rPr>
                <w:rFonts w:ascii="Arial" w:cs="Arial" w:eastAsia="Arial" w:hAnsi="Arial"/>
                <w:sz w:val="11"/>
                <w:szCs w:val="11"/>
                <w:color w:val="auto"/>
              </w:rPr>
              <w:t>Parker Barrile</w:t>
            </w:r>
            <w:r>
              <w:rPr>
                <w:rFonts w:ascii="Arial" w:cs="Arial" w:eastAsia="Arial" w:hAnsi="Arial"/>
                <w:sz w:val="18"/>
                <w:szCs w:val="18"/>
                <w:color w:val="auto"/>
                <w:vertAlign w:val="superscript"/>
              </w:rPr>
              <w:t>(4)</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Director</w:t>
            </w:r>
          </w:p>
        </w:tc>
      </w:tr>
      <w:tr>
        <w:trPr>
          <w:trHeight w:val="162"/>
        </w:trPr>
        <w:tc>
          <w:tcPr>
            <w:tcW w:w="4080" w:type="dxa"/>
            <w:vAlign w:val="bottom"/>
            <w:gridSpan w:val="2"/>
          </w:tcPr>
          <w:p>
            <w:pPr>
              <w:ind w:left="260"/>
              <w:spacing w:after="0" w:line="162" w:lineRule="exact"/>
              <w:rPr>
                <w:sz w:val="20"/>
                <w:szCs w:val="20"/>
                <w:color w:val="auto"/>
              </w:rPr>
            </w:pPr>
            <w:r>
              <w:rPr>
                <w:rFonts w:ascii="Arial" w:cs="Arial" w:eastAsia="Arial" w:hAnsi="Arial"/>
                <w:sz w:val="11"/>
                <w:szCs w:val="11"/>
                <w:color w:val="auto"/>
              </w:rPr>
              <w:t>Kenneth Fox</w:t>
            </w:r>
            <w:r>
              <w:rPr>
                <w:rFonts w:ascii="Arial" w:cs="Arial" w:eastAsia="Arial" w:hAnsi="Arial"/>
                <w:sz w:val="18"/>
                <w:szCs w:val="18"/>
                <w:color w:val="auto"/>
                <w:vertAlign w:val="superscript"/>
              </w:rPr>
              <w:t>(2)</w:t>
            </w:r>
          </w:p>
        </w:tc>
        <w:tc>
          <w:tcPr>
            <w:tcW w:w="2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Director</w:t>
            </w:r>
          </w:p>
        </w:tc>
      </w:tr>
      <w:tr>
        <w:trPr>
          <w:trHeight w:val="162"/>
        </w:trPr>
        <w:tc>
          <w:tcPr>
            <w:tcW w:w="4080" w:type="dxa"/>
            <w:vAlign w:val="bottom"/>
            <w:gridSpan w:val="2"/>
            <w:shd w:val="clear" w:color="auto" w:fill="DDDDDD"/>
          </w:tcPr>
          <w:p>
            <w:pPr>
              <w:ind w:left="260"/>
              <w:spacing w:after="0" w:line="162" w:lineRule="exact"/>
              <w:rPr>
                <w:sz w:val="20"/>
                <w:szCs w:val="20"/>
                <w:color w:val="auto"/>
              </w:rPr>
            </w:pPr>
            <w:r>
              <w:rPr>
                <w:rFonts w:ascii="Arial" w:cs="Arial" w:eastAsia="Arial" w:hAnsi="Arial"/>
                <w:sz w:val="11"/>
                <w:szCs w:val="11"/>
                <w:color w:val="auto"/>
              </w:rPr>
              <w:t>Heather Hiles</w:t>
            </w:r>
            <w:r>
              <w:rPr>
                <w:rFonts w:ascii="Arial" w:cs="Arial" w:eastAsia="Arial" w:hAnsi="Arial"/>
                <w:sz w:val="18"/>
                <w:szCs w:val="18"/>
                <w:color w:val="auto"/>
                <w:vertAlign w:val="superscript"/>
              </w:rPr>
              <w:t>(1)(3)</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Director</w:t>
            </w:r>
          </w:p>
        </w:tc>
      </w:tr>
      <w:tr>
        <w:trPr>
          <w:trHeight w:val="162"/>
        </w:trPr>
        <w:tc>
          <w:tcPr>
            <w:tcW w:w="4080" w:type="dxa"/>
            <w:vAlign w:val="bottom"/>
            <w:gridSpan w:val="2"/>
          </w:tcPr>
          <w:p>
            <w:pPr>
              <w:ind w:left="260"/>
              <w:spacing w:after="0" w:line="162" w:lineRule="exact"/>
              <w:rPr>
                <w:sz w:val="20"/>
                <w:szCs w:val="20"/>
                <w:color w:val="auto"/>
              </w:rPr>
            </w:pPr>
            <w:r>
              <w:rPr>
                <w:rFonts w:ascii="Arial" w:cs="Arial" w:eastAsia="Arial" w:hAnsi="Arial"/>
                <w:sz w:val="11"/>
                <w:szCs w:val="11"/>
                <w:color w:val="auto"/>
              </w:rPr>
              <w:t>Lawrence Illg</w:t>
            </w:r>
            <w:r>
              <w:rPr>
                <w:rFonts w:ascii="Arial" w:cs="Arial" w:eastAsia="Arial" w:hAnsi="Arial"/>
                <w:sz w:val="18"/>
                <w:szCs w:val="18"/>
                <w:color w:val="auto"/>
                <w:vertAlign w:val="superscript"/>
              </w:rPr>
              <w:t>(3)</w:t>
            </w:r>
          </w:p>
        </w:tc>
        <w:tc>
          <w:tcPr>
            <w:tcW w:w="2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Director</w:t>
            </w:r>
          </w:p>
        </w:tc>
      </w:tr>
      <w:tr>
        <w:trPr>
          <w:trHeight w:val="162"/>
        </w:trPr>
        <w:tc>
          <w:tcPr>
            <w:tcW w:w="4080" w:type="dxa"/>
            <w:vAlign w:val="bottom"/>
            <w:gridSpan w:val="2"/>
            <w:shd w:val="clear" w:color="auto" w:fill="DDDDDD"/>
          </w:tcPr>
          <w:p>
            <w:pPr>
              <w:ind w:left="260"/>
              <w:spacing w:after="0" w:line="162" w:lineRule="exact"/>
              <w:rPr>
                <w:sz w:val="20"/>
                <w:szCs w:val="20"/>
                <w:color w:val="auto"/>
              </w:rPr>
            </w:pPr>
            <w:r>
              <w:rPr>
                <w:rFonts w:ascii="Arial" w:cs="Arial" w:eastAsia="Arial" w:hAnsi="Arial"/>
                <w:sz w:val="11"/>
                <w:szCs w:val="11"/>
                <w:color w:val="auto"/>
              </w:rPr>
              <w:t>Jeffrey Lieberman</w:t>
            </w:r>
            <w:r>
              <w:rPr>
                <w:rFonts w:ascii="Arial" w:cs="Arial" w:eastAsia="Arial" w:hAnsi="Arial"/>
                <w:sz w:val="18"/>
                <w:szCs w:val="18"/>
                <w:color w:val="auto"/>
                <w:vertAlign w:val="superscript"/>
              </w:rPr>
              <w:t>(2)</w:t>
            </w:r>
          </w:p>
        </w:tc>
        <w:tc>
          <w:tcPr>
            <w:tcW w:w="2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DDDDDD"/>
          </w:tcPr>
          <w:p>
            <w:pPr>
              <w:spacing w:after="0"/>
              <w:rPr>
                <w:sz w:val="14"/>
                <w:szCs w:val="14"/>
                <w:color w:val="auto"/>
              </w:rPr>
            </w:pPr>
          </w:p>
        </w:tc>
        <w:tc>
          <w:tcPr>
            <w:tcW w:w="6580" w:type="dxa"/>
            <w:vAlign w:val="bottom"/>
            <w:gridSpan w:val="3"/>
            <w:shd w:val="clear" w:color="auto" w:fill="DDDDDD"/>
          </w:tcPr>
          <w:p>
            <w:pPr>
              <w:ind w:left="80"/>
              <w:spacing w:after="0"/>
              <w:rPr>
                <w:sz w:val="20"/>
                <w:szCs w:val="20"/>
                <w:color w:val="auto"/>
              </w:rPr>
            </w:pPr>
            <w:r>
              <w:rPr>
                <w:rFonts w:ascii="Arial" w:cs="Arial" w:eastAsia="Arial" w:hAnsi="Arial"/>
                <w:sz w:val="14"/>
                <w:szCs w:val="14"/>
                <w:color w:val="auto"/>
              </w:rPr>
              <w:t>Director</w:t>
            </w:r>
          </w:p>
        </w:tc>
      </w:tr>
      <w:tr>
        <w:trPr>
          <w:trHeight w:val="313"/>
        </w:trPr>
        <w:tc>
          <w:tcPr>
            <w:tcW w:w="4080" w:type="dxa"/>
            <w:vAlign w:val="bottom"/>
            <w:gridSpan w:val="2"/>
          </w:tcPr>
          <w:p>
            <w:pPr>
              <w:ind w:left="260"/>
              <w:spacing w:after="0"/>
              <w:rPr>
                <w:sz w:val="20"/>
                <w:szCs w:val="20"/>
                <w:color w:val="auto"/>
              </w:rPr>
            </w:pPr>
            <w:r>
              <w:rPr>
                <w:rFonts w:ascii="Arial" w:cs="Arial" w:eastAsia="Arial" w:hAnsi="Arial"/>
                <w:sz w:val="14"/>
                <w:szCs w:val="14"/>
                <w:color w:val="auto"/>
              </w:rPr>
              <w:t>Lydia Paterson</w:t>
            </w:r>
            <w:r>
              <w:rPr>
                <w:rFonts w:ascii="Arial" w:cs="Arial" w:eastAsia="Arial" w:hAnsi="Arial"/>
                <w:sz w:val="24"/>
                <w:szCs w:val="24"/>
                <w:color w:val="auto"/>
                <w:vertAlign w:val="superscript"/>
              </w:rPr>
              <w:t>(3)</w:t>
            </w:r>
          </w:p>
        </w:tc>
        <w:tc>
          <w:tcPr>
            <w:tcW w:w="2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6580" w:type="dxa"/>
            <w:vAlign w:val="bottom"/>
            <w:gridSpan w:val="3"/>
          </w:tcPr>
          <w:p>
            <w:pPr>
              <w:ind w:left="8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 (as of completion of this offering).</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compensation committee (as of completion of this offering).</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the audit committee (as of completion of this offering).</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Barrile resigned as a member of our board of directors effective October 28, 2021.</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 xml:space="preserve">Gregg Coccari </w:t>
      </w:r>
      <w:r>
        <w:rPr>
          <w:rFonts w:ascii="Arial" w:cs="Arial" w:eastAsia="Arial" w:hAnsi="Arial"/>
          <w:sz w:val="18"/>
          <w:szCs w:val="18"/>
          <w:color w:val="auto"/>
        </w:rPr>
        <w:t>has served as our President and Chief Executive Officer and as a member of our board of directors since February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as our Chairperson of the Board of Directors since May 2021. From November 2015 to March 2017, Mr. Coccari served as Chief Executive Officer of Stella &amp; Chewy’s, a pet food company specializing in raw, natural pet foods, before pursuing non-professional interests from April 2017 to January 2019. Before Stella &amp; Chewy’s, Mr. Coccari served as President and Chief Executive Officer of Futuredontics, a provider of dental marketing services and software, from 2010 to 2012, as President and Chief Executive Officer of NetQuote, an online insurance quote marketplace, from 2006 to 2009, and as President and Chief Executive Officer of Teleflora, an online flower delivery network, from 1992 to 2004. Mr. Coccari received a B.S. in psychology from Colgate University and an M.B.A. from the Wharton School of the University of Pennsylvania.</w:t>
      </w:r>
    </w:p>
    <w:p>
      <w:pPr>
        <w:spacing w:after="0" w:line="205"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We believe that Mr. Coccari is qualified to serve as a member of our board of directors because of the perspective and experience he brings as our President and Chief Executive Officer.</w:t>
      </w:r>
    </w:p>
    <w:p>
      <w:pPr>
        <w:spacing w:after="0" w:line="179"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 xml:space="preserve">Sarah Blanchard </w:t>
      </w:r>
      <w:r>
        <w:rPr>
          <w:rFonts w:ascii="Arial" w:cs="Arial" w:eastAsia="Arial" w:hAnsi="Arial"/>
          <w:sz w:val="18"/>
          <w:szCs w:val="18"/>
          <w:color w:val="auto"/>
        </w:rPr>
        <w:t>has served as our Chief Financial Officer since April 2021. Prior to joining Udemy, Ms. Blanchard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Chief Operating Officer of Omada Health, a digital healthcare platform focused on sustainable lifestyle changes, from March 2019 to April 2021, and as Omada Health’s Chief Financial Officer from August 2014 to March 2019. Ms. Blanchard previously served as Chief Financial Officer of CoreOS, a developer of Kubernetes and container-native software solutions, from October 2017 until CoreOS’s acquisition by Red Hat in January 2018. Before that, Ms. Blanchard served as Vice President, Finance of Silver Spring Networks, a smart grid products provider, from 2009 to 2014. Ms. Blanchard received a B.A. in accounting from Michigan State University and an M.B.A. from the Wharton School of the University of Pennsylvania.</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rPr>
          <w:sz w:val="20"/>
          <w:szCs w:val="20"/>
          <w:color w:val="auto"/>
        </w:rPr>
      </w:pPr>
      <w:r>
        <w:rPr>
          <w:rFonts w:ascii="Arial" w:cs="Arial" w:eastAsia="Arial" w:hAnsi="Arial"/>
          <w:sz w:val="18"/>
          <w:szCs w:val="18"/>
          <w:i w:val="1"/>
          <w:iCs w:val="1"/>
          <w:color w:val="auto"/>
        </w:rPr>
        <w:t xml:space="preserve">Venu Venugopal </w:t>
      </w:r>
      <w:r>
        <w:rPr>
          <w:rFonts w:ascii="Arial" w:cs="Arial" w:eastAsia="Arial" w:hAnsi="Arial"/>
          <w:sz w:val="18"/>
          <w:szCs w:val="18"/>
          <w:color w:val="auto"/>
        </w:rPr>
        <w:t>has served as our Chief Technology Officer since May 2019. Before joining Udemy, Mr. Venugopal spent over six years</w:t>
      </w:r>
      <w:r>
        <w:rPr>
          <w:rFonts w:ascii="Arial" w:cs="Arial" w:eastAsia="Arial" w:hAnsi="Arial"/>
          <w:sz w:val="18"/>
          <w:szCs w:val="18"/>
          <w:i w:val="1"/>
          <w:iCs w:val="1"/>
          <w:color w:val="auto"/>
        </w:rPr>
        <w:t xml:space="preserve"> </w:t>
      </w:r>
      <w:r>
        <w:rPr>
          <w:rFonts w:ascii="Arial" w:cs="Arial" w:eastAsia="Arial" w:hAnsi="Arial"/>
          <w:sz w:val="18"/>
          <w:szCs w:val="18"/>
          <w:color w:val="auto"/>
        </w:rPr>
        <w:t>at Vrbo.com, a division of Expedia Group, an online travel shopping company, where he held multiple roles from December 2012 to April 2019, including Vice President of Engineering from December 2015 to April 2019. Before that, Mr. Venugopal served in various engineering and product development roles at Adobe, a computer software company, from 2005 to 2011 and, prior to its acquisition by Adobe, at Macromedia, a graphics, multimedia and web development software company, from 2000 to 2005. Mr. Venugopal received a B.E. in mechanical engineering from Madras University, as well as an M.S. in computer science and an M.Eng. in mechanical engineering from the University of New Brunswick, Fredericton, Canada.</w:t>
      </w:r>
    </w:p>
    <w:p>
      <w:pPr>
        <w:spacing w:after="0" w:line="185"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 xml:space="preserve">Gregory Brown </w:t>
      </w:r>
      <w:r>
        <w:rPr>
          <w:rFonts w:ascii="Arial" w:cs="Arial" w:eastAsia="Arial" w:hAnsi="Arial"/>
          <w:sz w:val="18"/>
          <w:szCs w:val="18"/>
          <w:color w:val="auto"/>
        </w:rPr>
        <w:t>has served as the President, Udemy Business since December 2020. Prior to joining Udemy, Mr. Brown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Reflektive, a performance, engagement and analytics solution platform, from August 2019 until December 2020. Prior to Reflektive, Mr. Brown was the Senior Vice President of International Business at Blackhawk Network, a global payments provider, from August 2017 to August 2019. Before that, Mr. Brown served as Chief Revenue Officer for Achievers Solutions, a developer of cloud-based employee engagement software, from February 2013 to August 2017, and as Chief Revenue Officer for Extole, a developer of an online advocate marketing platform, from April 2011 to February 2013. Mr. Brown received a B.S. in business administration from California Polytechnic State University – San Luis Obispo.</w:t>
      </w:r>
    </w:p>
    <w:p>
      <w:pPr>
        <w:spacing w:after="0" w:line="18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 xml:space="preserve">Cara Brennan Allamano </w:t>
      </w:r>
      <w:r>
        <w:rPr>
          <w:rFonts w:ascii="Arial" w:cs="Arial" w:eastAsia="Arial" w:hAnsi="Arial"/>
          <w:sz w:val="18"/>
          <w:szCs w:val="18"/>
          <w:color w:val="auto"/>
        </w:rPr>
        <w:t>has served as our Senior Vice President, People, Places and Learning, since June 2018. Ms. Allamano also</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serves as a managing partner of PeopleTech Advisors, a consulting firm for HR technology companies that she founded in March 2013. Before joining Udemy, Ms. Allamano served as Senior Vice President, People + Places for Planet, a satellite imaging platform, from June 2014 to June 2018. Before serving as a consultant from 2013 to 2014, Ms. Allamano established the People team at Pinterest, a social media web and mobile application company, from 2012 to 2013. Ms. Allamano received a B.A. in English from the University of Kentucky and a master’s degree in human resources and organizational development from the University of San Francisco.</w:t>
      </w:r>
    </w:p>
    <w:p>
      <w:pPr>
        <w:spacing w:after="0" w:line="184" w:lineRule="exact"/>
        <w:rPr>
          <w:sz w:val="20"/>
          <w:szCs w:val="20"/>
          <w:color w:val="auto"/>
        </w:rPr>
      </w:pPr>
    </w:p>
    <w:p>
      <w:pPr>
        <w:ind w:left="120" w:right="160"/>
        <w:spacing w:after="0" w:line="241" w:lineRule="auto"/>
        <w:rPr>
          <w:sz w:val="20"/>
          <w:szCs w:val="20"/>
          <w:color w:val="auto"/>
        </w:rPr>
      </w:pPr>
      <w:r>
        <w:rPr>
          <w:rFonts w:ascii="Arial" w:cs="Arial" w:eastAsia="Arial" w:hAnsi="Arial"/>
          <w:sz w:val="18"/>
          <w:szCs w:val="18"/>
          <w:i w:val="1"/>
          <w:iCs w:val="1"/>
          <w:color w:val="auto"/>
        </w:rPr>
        <w:t xml:space="preserve">Llibert Argerich </w:t>
      </w:r>
      <w:r>
        <w:rPr>
          <w:rFonts w:ascii="Arial" w:cs="Arial" w:eastAsia="Arial" w:hAnsi="Arial"/>
          <w:sz w:val="18"/>
          <w:szCs w:val="18"/>
          <w:color w:val="auto"/>
        </w:rPr>
        <w:t>has served as our Senior Vice President, Marketing since August 2020 and previously served as our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from June 2018 to August 2020. Prior to joining Udemy, Mr. Argerich spent eight years at eBay, Inc., a multinational e-commerce platform, where he held multiple roles from 2010 until May 2018, including Global Director, Performance &amp; Digital Marketing from January 2017 to May 2018 and Global Director, Social &amp; Influencer Marketing from January 2015 to December 2016. Before that, Mr. Argerich served in various marketing roles at Expedia Group, an online travel shopping company, from August 2006 until June 2010. Mr. Argerich received a B.S. in economics and business from the Université des Sciences Sociales de Toulouse, Toulouse, France.</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7"/>
          <w:szCs w:val="17"/>
          <w:i w:val="1"/>
          <w:iCs w:val="1"/>
          <w:color w:val="auto"/>
        </w:rPr>
        <w:t xml:space="preserve">Prasad Gune </w:t>
      </w:r>
      <w:r>
        <w:rPr>
          <w:rFonts w:ascii="Arial" w:cs="Arial" w:eastAsia="Arial" w:hAnsi="Arial"/>
          <w:sz w:val="17"/>
          <w:szCs w:val="17"/>
          <w:color w:val="auto"/>
        </w:rPr>
        <w:t>has served as our Senior Vice President, Product, since December 2019. Before joining Udemy, Mr. Gune served as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Product for Signifyd, an e-commerce fraud protection platform, from January 2019 to December 2019. Prior to that,</w:t>
      </w:r>
    </w:p>
    <w:p>
      <w:pPr>
        <w:spacing w:after="0" w:line="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Mr. Gune worked at OpenTable, an online restaurant-reservation service company, where he served as Senior Vice President, Product from October 2017 to June 2018 and Senior Vice President, Restaurant Product Management from May 2016 to September 2017. Before OpenTable, Mr. Gune worked in various leadership roles at LinkedIn, a professional networking company, Bain &amp; Company, a management consultancy, Oracle, a database management company, and Siebel Systems, a customer relationship management software developer. Mr. Gune received a B.E. in mechanical engineering from the College of Engineering, Pune in Pune, India, an M.S. in mechanical engineering from the University of California, Berkeley, and an M.B.A. from Harvard Business School.</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8"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i w:val="1"/>
          <w:iCs w:val="1"/>
          <w:color w:val="auto"/>
        </w:rPr>
        <w:t xml:space="preserve">Eren Bali </w:t>
      </w:r>
      <w:r>
        <w:rPr>
          <w:rFonts w:ascii="Arial" w:cs="Arial" w:eastAsia="Arial" w:hAnsi="Arial"/>
          <w:sz w:val="18"/>
          <w:szCs w:val="18"/>
          <w:color w:val="auto"/>
        </w:rPr>
        <w:t>co-founded our company in January 2010 and has served as a member of our board of directors since then. Mr. Bali also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our Chief Executive Officer from January 2010 to April 2014. Mr. Bali currently serves as Chief Executive Officer of Carbon Health, a technology-enabled healthcare provider, which he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co-founded in October 2015. Mr. Bali serves on the boards of directors of various private companies. Mr. Bali received a B.S. in computer engineering and mathematics from Middle East Technical University, Ankara, Turkey.</w:t>
      </w:r>
    </w:p>
    <w:p>
      <w:pPr>
        <w:spacing w:after="0" w:line="197"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We believe that Mr. Bali is qualified to serve on our board of directors because of the perspective and experience he brings as our co-founder and former Chief Executive Officer.</w:t>
      </w:r>
    </w:p>
    <w:p>
      <w:pPr>
        <w:spacing w:after="0" w:line="179"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i w:val="1"/>
          <w:iCs w:val="1"/>
          <w:color w:val="auto"/>
        </w:rPr>
        <w:t xml:space="preserve">Parker Barrile </w:t>
      </w:r>
      <w:r>
        <w:rPr>
          <w:rFonts w:ascii="Arial" w:cs="Arial" w:eastAsia="Arial" w:hAnsi="Arial"/>
          <w:sz w:val="18"/>
          <w:szCs w:val="18"/>
          <w:color w:val="auto"/>
        </w:rPr>
        <w:t>served as a member of our board of directors from January 2021 until his resignation on October 28, 2021. Mr. Barrile is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 partner for Norwest Venture Partners, a venture and growth equity investment firm, where he has worked since December 2016. Prior to that, Mr. Barrile served as Chief Product Officer for Prosper Marketplace, a peer-to-peer lending marketplace, from August 2015 to September 2016, and Vice President of Product at LinkedIn, a professional networking company, from September 2009 to August 2014. Mr. Barrile currently serves on the boards of directors of several private companies. Mr. Barrile received a B.S. in mathematics and an M.B.A. from Stanford University.</w:t>
      </w:r>
    </w:p>
    <w:p>
      <w:pPr>
        <w:spacing w:after="0" w:line="202" w:lineRule="exact"/>
        <w:rPr>
          <w:sz w:val="20"/>
          <w:szCs w:val="20"/>
          <w:color w:val="auto"/>
        </w:rPr>
      </w:pPr>
    </w:p>
    <w:p>
      <w:pPr>
        <w:ind w:left="120" w:right="760"/>
        <w:spacing w:after="0" w:line="246" w:lineRule="auto"/>
        <w:rPr>
          <w:sz w:val="20"/>
          <w:szCs w:val="20"/>
          <w:color w:val="auto"/>
        </w:rPr>
      </w:pPr>
      <w:r>
        <w:rPr>
          <w:rFonts w:ascii="Arial" w:cs="Arial" w:eastAsia="Arial" w:hAnsi="Arial"/>
          <w:sz w:val="18"/>
          <w:szCs w:val="18"/>
          <w:color w:val="auto"/>
        </w:rPr>
        <w:t>Mr. Barrile was selected to serve on our board of directors because of his extensive experience in the venture capital industry, his business and leadership experience, and his knowledge of technology companies.</w:t>
      </w:r>
    </w:p>
    <w:p>
      <w:pPr>
        <w:spacing w:after="0" w:line="179" w:lineRule="exact"/>
        <w:rPr>
          <w:sz w:val="20"/>
          <w:szCs w:val="20"/>
          <w:color w:val="auto"/>
        </w:rPr>
      </w:pPr>
    </w:p>
    <w:p>
      <w:pPr>
        <w:ind w:left="120" w:right="140"/>
        <w:spacing w:after="0"/>
        <w:rPr>
          <w:sz w:val="20"/>
          <w:szCs w:val="20"/>
          <w:color w:val="auto"/>
        </w:rPr>
      </w:pPr>
      <w:r>
        <w:rPr>
          <w:rFonts w:ascii="Arial" w:cs="Arial" w:eastAsia="Arial" w:hAnsi="Arial"/>
          <w:sz w:val="18"/>
          <w:szCs w:val="18"/>
          <w:i w:val="1"/>
          <w:iCs w:val="1"/>
          <w:color w:val="auto"/>
        </w:rPr>
        <w:t xml:space="preserve">Kenneth Fox </w:t>
      </w:r>
      <w:r>
        <w:rPr>
          <w:rFonts w:ascii="Arial" w:cs="Arial" w:eastAsia="Arial" w:hAnsi="Arial"/>
          <w:sz w:val="18"/>
          <w:szCs w:val="18"/>
          <w:color w:val="auto"/>
        </w:rPr>
        <w:t>has served as a member of our board of directors since May 2015. Mr. Fox currently serves as a Managing Partner of</w:t>
      </w:r>
      <w:r>
        <w:rPr>
          <w:rFonts w:ascii="Arial" w:cs="Arial" w:eastAsia="Arial" w:hAnsi="Arial"/>
          <w:sz w:val="18"/>
          <w:szCs w:val="18"/>
          <w:i w:val="1"/>
          <w:iCs w:val="1"/>
          <w:color w:val="auto"/>
        </w:rPr>
        <w:t xml:space="preserve"> </w:t>
      </w:r>
      <w:r>
        <w:rPr>
          <w:rFonts w:ascii="Arial" w:cs="Arial" w:eastAsia="Arial" w:hAnsi="Arial"/>
          <w:sz w:val="18"/>
          <w:szCs w:val="18"/>
          <w:color w:val="auto"/>
        </w:rPr>
        <w:t>Stripes, a growth equity firm which he founded in 2010. Prior to forming Stripes, Mr. Fox was a Managing Director and co-founder of Internet Capital Group, a venture capital firm. He was also the founder and Chairman of ICG Asia, a Hong Kong-listed joint venture with Hutchison-Whampoa that Hutchison later acquired. Mr. Fox currently serves on the boards of directors of Supernova Partners Acquisition Company, Supernova Partners Acquisition Co. II, Supernova Partners Acquisition Co. III, and several Stripes investments, including On-Running and Monday.com. Mr. Fox previously served on the board of directors of Blue Apron Holdings from 2014 to 2019 and Turtle Beach Corporation from 2014 to 2018. Mr. Fox received a B.S. in economics from The Pennsylvania State University.</w:t>
      </w:r>
    </w:p>
    <w:p>
      <w:pPr>
        <w:spacing w:after="0" w:line="20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We believe that Mr. Fox is qualified to serve on our board of directors because of his extensive experience in the venture capital industry, his business and leadership experience and his knowledge of technology companies.</w:t>
      </w:r>
    </w:p>
    <w:p>
      <w:pPr>
        <w:spacing w:after="0" w:line="17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 xml:space="preserve">Heather Hiles </w:t>
      </w:r>
      <w:r>
        <w:rPr>
          <w:rFonts w:ascii="Arial" w:cs="Arial" w:eastAsia="Arial" w:hAnsi="Arial"/>
          <w:sz w:val="18"/>
          <w:szCs w:val="18"/>
          <w:color w:val="auto"/>
        </w:rPr>
        <w:t>has served as a member of our board of directors since August 2020. Mx. Hiles currently serves as the managing partner of</w:t>
      </w:r>
      <w:r>
        <w:rPr>
          <w:rFonts w:ascii="Arial" w:cs="Arial" w:eastAsia="Arial" w:hAnsi="Arial"/>
          <w:sz w:val="18"/>
          <w:szCs w:val="18"/>
          <w:i w:val="1"/>
          <w:iCs w:val="1"/>
          <w:color w:val="auto"/>
        </w:rPr>
        <w:t xml:space="preserve"> </w:t>
      </w:r>
      <w:r>
        <w:rPr>
          <w:rFonts w:ascii="Arial" w:cs="Arial" w:eastAsia="Arial" w:hAnsi="Arial"/>
          <w:sz w:val="18"/>
          <w:szCs w:val="18"/>
          <w:color w:val="auto"/>
        </w:rPr>
        <w:t>Black Ops Ventures, a seed-stage venture firm funding Black founders. Mx. Hiles previously served as the founding Chancellor and Chief Executive Officer of Calbright College, an online community college focused on preparation for jobs in the technology industry, from January 2019 to March 2020. Prior to that, Mx. Hiles was the Deputy Director of Postsecondary Success Solutions at the Bill &amp; Melinda Gates Foundation, a nonprofit organization focused on fighting poverty, disease, and inequity around the world, from October 2016 to November 2017. Mx. Hiles previously served as Chief Executive Officer of Pathbrite, a digital portfolio platform used by colleges and universities, from their founding of Pathbrite in February 2012 until Pathbrite’s sale to Cengage Learning in November 2015. Before that, Mx. Hiles served as Chief Executive Officer of SFWorks, a nonprofit they founded that trained and placed people on welfare into living-wage jobs, from 1997 to 2001. Mx. Hiles currently serves on the boards of directors for several private companies, including Black Girls Code. Mx. Hiles received a B.A. in development studies and ethnic studies from the University of California, Berkeley and an M.B.A. from Yale University.</w:t>
      </w:r>
    </w:p>
    <w:p>
      <w:pPr>
        <w:spacing w:after="0" w:line="204" w:lineRule="exact"/>
        <w:rPr>
          <w:sz w:val="20"/>
          <w:szCs w:val="20"/>
          <w:color w:val="auto"/>
        </w:rPr>
      </w:pPr>
    </w:p>
    <w:p>
      <w:pPr>
        <w:ind w:left="120" w:right="160"/>
        <w:spacing w:after="0" w:line="274" w:lineRule="auto"/>
        <w:rPr>
          <w:sz w:val="20"/>
          <w:szCs w:val="20"/>
          <w:color w:val="auto"/>
        </w:rPr>
      </w:pPr>
      <w:r>
        <w:rPr>
          <w:rFonts w:ascii="Arial" w:cs="Arial" w:eastAsia="Arial" w:hAnsi="Arial"/>
          <w:sz w:val="17"/>
          <w:szCs w:val="17"/>
          <w:color w:val="auto"/>
        </w:rPr>
        <w:t>We believe that Mx. Hiles is qualified to serve on our board of directors because of their extensive experience in the education and talent development industry, their business and leadership experience, financial expertise and their knowledge of technology companies.</w:t>
      </w:r>
    </w:p>
    <w:p>
      <w:pPr>
        <w:spacing w:after="0" w:line="157"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 xml:space="preserve">Lawrence Illg </w:t>
      </w:r>
      <w:r>
        <w:rPr>
          <w:rFonts w:ascii="Arial" w:cs="Arial" w:eastAsia="Arial" w:hAnsi="Arial"/>
          <w:sz w:val="18"/>
          <w:szCs w:val="18"/>
          <w:color w:val="auto"/>
        </w:rPr>
        <w:t>has served as a member of our board of directors since May 2016. Mr. Illg has served as Chief Executive Officer, Food and</w:t>
      </w:r>
      <w:r>
        <w:rPr>
          <w:rFonts w:ascii="Arial" w:cs="Arial" w:eastAsia="Arial" w:hAnsi="Arial"/>
          <w:sz w:val="18"/>
          <w:szCs w:val="18"/>
          <w:i w:val="1"/>
          <w:iCs w:val="1"/>
          <w:color w:val="auto"/>
        </w:rPr>
        <w:t xml:space="preserve"> </w:t>
      </w:r>
      <w:r>
        <w:rPr>
          <w:rFonts w:ascii="Arial" w:cs="Arial" w:eastAsia="Arial" w:hAnsi="Arial"/>
          <w:sz w:val="18"/>
          <w:szCs w:val="18"/>
          <w:color w:val="auto"/>
        </w:rPr>
        <w:t>EdTech, for Prosus, the international internet assets division of Naspers, since December 2018 and April 2021 respectively, and previously served as Chief Executive Officer, Prosus Ventures, the venture investing arm of Prosus, from 2015 until December 2020. Before that, Mr. Illg served as Chief Operating Officer, eCommerce, at Naspers, Prosus’ parent company, from 2013 to 2015. Prior to Naspers, Mr. Illg served as Vice President and General Manager of New Ventures at Trulia, an online real estate marketplace,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from 2012 to 2013. Mr. Illg has served as a member of the board of directors of Skillsoft since June 2021 and also serves on the boards of directors of several private companies. Mr. Illg received a B.S. in economics and an M.B.A. from the University of California, Berkeley.</w:t>
      </w:r>
    </w:p>
    <w:p>
      <w:pPr>
        <w:spacing w:after="0" w:line="197"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We believe that Mr. Illg is qualified to serve on our board of directors because of his extensive experience in the venture capital industry, his business and leadership experience and his knowledge of technology companies.</w:t>
      </w:r>
    </w:p>
    <w:p>
      <w:pPr>
        <w:spacing w:after="0" w:line="17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 xml:space="preserve">Jeffrey Lieberman </w:t>
      </w:r>
      <w:r>
        <w:rPr>
          <w:rFonts w:ascii="Arial" w:cs="Arial" w:eastAsia="Arial" w:hAnsi="Arial"/>
          <w:sz w:val="18"/>
          <w:szCs w:val="18"/>
          <w:color w:val="auto"/>
        </w:rPr>
        <w:t>has served as a member of our board of directors since February 2015. Since 1998, Mr. Lieberman has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Insight Partners, a private equity and venture capital firm, where he currently serves as managing director. Mr. Lieberman currently serves on the board of directors of HelloFresh SE. Mr. Lieberman previously served on the boards of directors of Qualtrics International from 2017 to 2019, Shutterstock from 2007 to 2016, Mimecast from 2012 to 2020, and Cvent from 2011 to 2016. Mr. Lieberman received a B.S. in systems engineering and finance from the University of Pennsylvania.</w:t>
      </w:r>
    </w:p>
    <w:p>
      <w:pPr>
        <w:spacing w:after="0" w:line="20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believe that Mr. Lieberman is qualified to serve on our board of directors because of his extensive experience as a public company director and his extensive experience in the venture capital industry.</w:t>
      </w:r>
    </w:p>
    <w:p>
      <w:pPr>
        <w:spacing w:after="0" w:line="17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i w:val="1"/>
          <w:iCs w:val="1"/>
          <w:color w:val="auto"/>
        </w:rPr>
        <w:t xml:space="preserve">Lydia Paterson </w:t>
      </w:r>
      <w:r>
        <w:rPr>
          <w:rFonts w:ascii="Arial" w:cs="Arial" w:eastAsia="Arial" w:hAnsi="Arial"/>
          <w:sz w:val="18"/>
          <w:szCs w:val="18"/>
          <w:color w:val="auto"/>
        </w:rPr>
        <w:t>has served as a member of our board of directors since December 2019. Ms. Paterson is currently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OLX Group, a global online classifieds marketplace and a subsidiary of Prosus. Prior to that, Ms. Paterson served as the Vice President, Global Finance and Corporate FP&amp;A for PayPal, an online payments company, from August 2012 to May 2016, and in various finance executive roles at eBay, a multinational e-commerce platform, from March 1999 to August 2012. Ms. Paterson currently serves on the boards of directors of several private companies. Ms. Paterson received a B.B.A. from Simon Fraser University.</w:t>
      </w:r>
    </w:p>
    <w:p>
      <w:pPr>
        <w:spacing w:after="0" w:line="20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believe that Ms. Paterson is qualified to serve on our board of directors because of her global business and leadership experience, financial expertise and her knowledge of technology companies.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Family relationships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currently consists of seven members. Mr. Barrile resigned from our board of directors effective October 28, 2021.</w:t>
      </w:r>
    </w:p>
    <w:p>
      <w:pPr>
        <w:spacing w:after="0" w:line="21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her, or their successor, or until his, her, or their earlier death, resignation, or removal.</w:t>
      </w:r>
    </w:p>
    <w:p>
      <w:pPr>
        <w:spacing w:after="0" w:line="205"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91" w:lineRule="exact"/>
        <w:rPr>
          <w:sz w:val="20"/>
          <w:szCs w:val="20"/>
          <w:color w:val="auto"/>
        </w:rPr>
      </w:pPr>
    </w:p>
    <w:p>
      <w:pPr>
        <w:ind w:left="760" w:right="40" w:hanging="320"/>
        <w:spacing w:after="0" w:line="246"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will be Kenneth Fox and Heather Hiles, and their terms will expire at the annual meeting of stockholders to be held in 2022;</w:t>
      </w:r>
    </w:p>
    <w:p>
      <w:pPr>
        <w:spacing w:after="0" w:line="102" w:lineRule="exact"/>
        <w:rPr>
          <w:rFonts w:ascii="Arial" w:cs="Arial" w:eastAsia="Arial" w:hAnsi="Arial"/>
          <w:sz w:val="18"/>
          <w:szCs w:val="18"/>
          <w:color w:val="auto"/>
        </w:rPr>
      </w:pPr>
    </w:p>
    <w:p>
      <w:pPr>
        <w:ind w:left="760" w:right="1020" w:hanging="320"/>
        <w:spacing w:after="0" w:line="246"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 directors will be Gregg Coccari and Jeffrey Lieberman, and their terms will expire at the annual meeting of stockholders to be held in 2023; and</w:t>
      </w:r>
    </w:p>
    <w:p>
      <w:pPr>
        <w:spacing w:after="0" w:line="102" w:lineRule="exact"/>
        <w:rPr>
          <w:rFonts w:ascii="Arial" w:cs="Arial" w:eastAsia="Arial" w:hAnsi="Arial"/>
          <w:sz w:val="18"/>
          <w:szCs w:val="18"/>
          <w:color w:val="auto"/>
        </w:rPr>
      </w:pPr>
    </w:p>
    <w:p>
      <w:pPr>
        <w:ind w:left="760" w:right="440" w:hanging="320"/>
        <w:spacing w:after="0" w:line="246"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III directors will be Eren Bali, Lawrence Illg, and Lydia Paterson, and their terms will expire at the annual meeting of stockholders to be held in 2024.</w:t>
      </w:r>
    </w:p>
    <w:p>
      <w:pPr>
        <w:spacing w:after="0" w:line="19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annual meeting following his, her, or their election and until his, her, or their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Upon the completion of this offering,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her, or their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205"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her, or their ability to exercise independent judgment in carrying out his, her, or their responsibilities. Based upon information requested from and provided by each director concerning his, her, or their background, employment, and affiliations, including family relationships, our board of directors has determined that Eren Bali, Kenneth Fox, Heather Hiles, Lawrence Illg, Jeffrey Liberman and Lydia Paterson, representing six of our seven directors following completion of this offering, do not have a relationship that would interfere with the exercise of independent judgment in carrying out the responsibilities of a director and that each of these directors is “independent” as that term is defined under the rules of Nasdaq.</w:t>
      </w:r>
    </w:p>
    <w:p>
      <w:pPr>
        <w:spacing w:after="0" w:line="19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“Certain relationships and related party transactions.”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structure</w:t>
      </w:r>
    </w:p>
    <w:p>
      <w:pPr>
        <w:spacing w:after="0" w:line="130"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Gregg Coccari, our President and Chief Executive Officer, also serves as Chairperson of the Board of Directors. Our board of directors believes that this leadership structure, coupled with a strong emphasis on independence of the board of directors, provides effective independent oversight of management while allowing both the board of</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directors and management to benefit from Mr. Coccari’s leadership and business experience. As Chairperson of the Board of Directors and President and Chief Executive Officer, Mr. Coccari has been the director most capable of effectively identifying strategic priorities and vision, coordinating the board of directors’ agenda to focus on discussions critical to the success of our company and executing our strategy and business plans. We believe this experience, together with the outside experience, oversight and expertise of our independent directors, allows for differing perspectives and roles regarding strategy development that benefit our stockholders. Further, our board of directors believes that Mr. Coccari’s combined role enables decisive leadership, ensures clear accountability and enhances our ability to communicate its message and strategy clearly and consistently to its stockholders, employees and customers.</w:t>
      </w:r>
    </w:p>
    <w:p>
      <w:pPr>
        <w:spacing w:after="0" w:line="20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Prior to the completion of this offering, our corporate governance guidelines will provide that one of our independent directors will serve as the lead independent director at any time when the chairperson is not independent. Our board of directors has appointed Jeffrey Lieberman to serve as our lead independent director in light of Mr. Coccari’s leadership as our combined President, Chief Executive Officer and Chairperson of the Board of Directors. As lead independent director, Mr. Lieberman will be responsible for calling separate meetings of the independent directors, determining the agenda for, and serving as chairperson of, meetings of independent directors, and providing feedback to our chief executive officer and chairperson from executive sessions.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the board in risk oversight</w:t>
      </w:r>
    </w:p>
    <w:p>
      <w:pPr>
        <w:spacing w:after="0" w:line="130"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30"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Prior to the completion of this offering, our board of directors will have an audit committee, a compensation committee and a corporate governance and nominating committee, each of which will have the composition and the responsibilities described below.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 Heather Hiles, Lawrence Illg and Lydia Paterson. Ms. Paterson will be the chair of our audit committee and is an audit committee financial expert, as that term is defined under the SEC rules implementing Section 407 of the Sarbanes-Oxley Act of 2002, and possesses financial sophistication, as defined under the rules of Nasdaq. Our audit committee will oversee our corporate accounting and financial reporting process and assist our board of directors in monitoring our financial systems. Our audit committee will also:</w:t>
      </w:r>
    </w:p>
    <w:p>
      <w:pPr>
        <w:spacing w:after="0" w:line="108" w:lineRule="exact"/>
        <w:rPr>
          <w:sz w:val="20"/>
          <w:szCs w:val="20"/>
          <w:color w:val="auto"/>
        </w:rPr>
      </w:pPr>
    </w:p>
    <w:p>
      <w:pPr>
        <w:ind w:left="760" w:hanging="320"/>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jc w:val="both"/>
        <w:ind w:left="760" w:right="460" w:hanging="320"/>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monitoring and assessing, and overseeing the reporting of, any material cybersecurity breaches and associated risks;</w:t>
      </w:r>
    </w:p>
    <w:p>
      <w:pPr>
        <w:spacing w:after="0" w:line="117" w:lineRule="exact"/>
        <w:rPr>
          <w:rFonts w:ascii="Arial" w:cs="Arial" w:eastAsia="Arial" w:hAnsi="Arial"/>
          <w:sz w:val="18"/>
          <w:szCs w:val="18"/>
          <w:color w:val="auto"/>
        </w:rPr>
      </w:pPr>
    </w:p>
    <w:p>
      <w:pPr>
        <w:ind w:left="760" w:right="60" w:hanging="320"/>
        <w:spacing w:after="0" w:line="246"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760" w:right="320" w:hanging="320"/>
        <w:spacing w:after="0" w:line="246"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97"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Our audit committee will operate under a written charter, to be effective upon the effectiveness of the registration statement of which this prospectus forms a part, which will satisfy the applicable rules of the SEC and the listing standards of Nasdaq.</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 will be Kenneth Fox and Jeffrey Lieberman. Mr. Lieberman will be the chair of our compensation committee. Our compensation committee will oversee our compensation policies, plans and benefits programs. The compensation committee will also:</w:t>
      </w:r>
    </w:p>
    <w:p>
      <w:pPr>
        <w:spacing w:after="0" w:line="108" w:lineRule="exact"/>
        <w:rPr>
          <w:sz w:val="20"/>
          <w:szCs w:val="20"/>
          <w:color w:val="auto"/>
        </w:rPr>
      </w:pPr>
    </w:p>
    <w:p>
      <w:pPr>
        <w:ind w:left="760" w:hanging="320"/>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and approve compensation for our executive officers and directors;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12"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Our compensation committee will operate under a written charter, to be effective upon the effectiveness of the registration statement of which this prospectus forms a part, which will satisfy the applicable rules of the SEC and the listing standards of Nasdaq.</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nominating and corporate governance committee will be Eren Bali and Heather Hiles. Mx. Hiles will be the chair of our nominating and corporate governance committee. Our nominating and corporate governance committee will oversee and assist our board of directors in reviewing and recommending nominees for election as directors. Specifically, the nominating and corporate governance committee will:</w:t>
      </w:r>
    </w:p>
    <w:p>
      <w:pPr>
        <w:spacing w:after="0" w:line="110" w:lineRule="exact"/>
        <w:rPr>
          <w:sz w:val="20"/>
          <w:szCs w:val="20"/>
          <w:color w:val="auto"/>
        </w:rPr>
      </w:pPr>
    </w:p>
    <w:p>
      <w:pPr>
        <w:ind w:left="760" w:right="220" w:hanging="320"/>
        <w:spacing w:after="0" w:line="246"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02" w:lineRule="exact"/>
        <w:rPr>
          <w:rFonts w:ascii="Arial" w:cs="Arial" w:eastAsia="Arial" w:hAnsi="Arial"/>
          <w:sz w:val="18"/>
          <w:szCs w:val="18"/>
          <w:color w:val="auto"/>
        </w:rPr>
      </w:pPr>
    </w:p>
    <w:p>
      <w:pPr>
        <w:ind w:left="760" w:right="760" w:hanging="320"/>
        <w:spacing w:after="0" w:line="246"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 ESG matters;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hanging="320"/>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12"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Our nominating and corporate governance committee will operate under a written charter, to be effective upon the effectiveness of the registration statement of which this prospectus forms a part, which will satisfy the applicable rules of the SEC and the listing standards of Nasdaq.</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130"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Mr. Coccari, our only employee director during the year ended December 31, 2020, did not receive any compensation for his service as a director during the year December 31, 2020. The compensation received by Mr. Coccari as an employee in 2020 is set forth in “Executive compensation.”</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Prior to this offering, we have not implemented a formal policy with respect to compensation payable to our non-employee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05"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following table provides information regarding the compensation of our non-employee directors for service as directors for the year ended December 31, 2020:</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380" w:type="dxa"/>
            <w:vAlign w:val="bottom"/>
          </w:tcPr>
          <w:p>
            <w:pPr>
              <w:jc w:val="right"/>
              <w:ind w:right="229"/>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r>
      <w:tr>
        <w:trPr>
          <w:trHeight w:val="159"/>
        </w:trPr>
        <w:tc>
          <w:tcPr>
            <w:tcW w:w="38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380" w:type="dxa"/>
            <w:vAlign w:val="bottom"/>
          </w:tcPr>
          <w:p>
            <w:pPr>
              <w:jc w:val="right"/>
              <w:ind w:right="229"/>
              <w:spacing w:after="0" w:line="159" w:lineRule="exact"/>
              <w:rPr>
                <w:sz w:val="20"/>
                <w:szCs w:val="20"/>
                <w:color w:val="auto"/>
              </w:rPr>
            </w:pPr>
            <w:r>
              <w:rPr>
                <w:rFonts w:ascii="Arial" w:cs="Arial" w:eastAsia="Arial" w:hAnsi="Arial"/>
                <w:sz w:val="14"/>
                <w:szCs w:val="14"/>
                <w:b w:val="1"/>
                <w:bCs w:val="1"/>
                <w:color w:val="auto"/>
              </w:rPr>
              <w:t>awards</w:t>
            </w:r>
          </w:p>
        </w:tc>
        <w:tc>
          <w:tcPr>
            <w:tcW w:w="96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rPr>
              <w:t>Total</w:t>
            </w:r>
          </w:p>
        </w:tc>
      </w:tr>
      <w:tr>
        <w:trPr>
          <w:trHeight w:val="179"/>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jc w:val="right"/>
              <w:ind w:right="229"/>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0"/>
        </w:trPr>
        <w:tc>
          <w:tcPr>
            <w:tcW w:w="380" w:type="dxa"/>
            <w:vAlign w:val="bottom"/>
            <w:tcBorders>
              <w:top w:val="single" w:sz="8" w:color="auto"/>
              <w:bottom w:val="single" w:sz="8" w:color="DDDDDD"/>
            </w:tcBorders>
          </w:tcPr>
          <w:p>
            <w:pPr>
              <w:spacing w:after="0" w:line="20" w:lineRule="exact"/>
              <w:rPr>
                <w:sz w:val="1"/>
                <w:szCs w:val="1"/>
                <w:color w:val="auto"/>
              </w:rPr>
            </w:pPr>
          </w:p>
        </w:tc>
        <w:tc>
          <w:tcPr>
            <w:tcW w:w="8300" w:type="dxa"/>
            <w:vAlign w:val="bottom"/>
            <w:tcBorders>
              <w:bottom w:val="single" w:sz="8" w:color="DDDDDD"/>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86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Eren Bali</w:t>
            </w:r>
          </w:p>
        </w:tc>
        <w:tc>
          <w:tcPr>
            <w:tcW w:w="1380" w:type="dxa"/>
            <w:vAlign w:val="bottom"/>
            <w:shd w:val="clear" w:color="auto" w:fill="DDDDDD"/>
          </w:tcPr>
          <w:p>
            <w:pPr>
              <w:jc w:val="right"/>
              <w:ind w:right="229"/>
              <w:spacing w:after="0"/>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680" w:type="dxa"/>
            <w:vAlign w:val="bottom"/>
            <w:gridSpan w:val="2"/>
          </w:tcPr>
          <w:p>
            <w:pPr>
              <w:spacing w:after="0"/>
              <w:rPr>
                <w:sz w:val="20"/>
                <w:szCs w:val="20"/>
                <w:color w:val="auto"/>
              </w:rPr>
            </w:pPr>
            <w:r>
              <w:rPr>
                <w:rFonts w:ascii="Arial" w:cs="Arial" w:eastAsia="Arial" w:hAnsi="Arial"/>
                <w:sz w:val="14"/>
                <w:szCs w:val="14"/>
                <w:color w:val="auto"/>
              </w:rPr>
              <w:t>Parker Barrile</w:t>
            </w:r>
          </w:p>
        </w:tc>
        <w:tc>
          <w:tcPr>
            <w:tcW w:w="13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86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Kenneth Fox</w:t>
            </w:r>
          </w:p>
        </w:tc>
        <w:tc>
          <w:tcPr>
            <w:tcW w:w="1380" w:type="dxa"/>
            <w:vAlign w:val="bottom"/>
            <w:shd w:val="clear" w:color="auto" w:fill="DDDDDD"/>
          </w:tcPr>
          <w:p>
            <w:pPr>
              <w:jc w:val="right"/>
              <w:ind w:right="229"/>
              <w:spacing w:after="0"/>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680" w:type="dxa"/>
            <w:vAlign w:val="bottom"/>
            <w:gridSpan w:val="2"/>
          </w:tcPr>
          <w:p>
            <w:pPr>
              <w:spacing w:after="0"/>
              <w:rPr>
                <w:sz w:val="20"/>
                <w:szCs w:val="20"/>
                <w:color w:val="auto"/>
              </w:rPr>
            </w:pPr>
            <w:r>
              <w:rPr>
                <w:rFonts w:ascii="Arial" w:cs="Arial" w:eastAsia="Arial" w:hAnsi="Arial"/>
                <w:sz w:val="14"/>
                <w:szCs w:val="14"/>
                <w:color w:val="auto"/>
              </w:rPr>
              <w:t>Heather Hiles</w:t>
            </w:r>
          </w:p>
        </w:tc>
        <w:tc>
          <w:tcPr>
            <w:tcW w:w="1380" w:type="dxa"/>
            <w:vAlign w:val="bottom"/>
          </w:tcPr>
          <w:p>
            <w:pPr>
              <w:jc w:val="right"/>
              <w:ind w:right="229"/>
              <w:spacing w:after="0"/>
              <w:rPr>
                <w:sz w:val="20"/>
                <w:szCs w:val="20"/>
                <w:color w:val="auto"/>
              </w:rPr>
            </w:pPr>
            <w:r>
              <w:rPr>
                <w:rFonts w:ascii="Arial" w:cs="Arial" w:eastAsia="Arial" w:hAnsi="Arial"/>
                <w:sz w:val="14"/>
                <w:szCs w:val="14"/>
                <w:color w:val="auto"/>
              </w:rPr>
              <w:t>619,000</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619,000</w:t>
            </w:r>
          </w:p>
        </w:tc>
      </w:tr>
      <w:tr>
        <w:trPr>
          <w:trHeight w:val="222"/>
        </w:trPr>
        <w:tc>
          <w:tcPr>
            <w:tcW w:w="86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Lawrence Illg</w:t>
            </w:r>
          </w:p>
        </w:tc>
        <w:tc>
          <w:tcPr>
            <w:tcW w:w="1380" w:type="dxa"/>
            <w:vAlign w:val="bottom"/>
            <w:shd w:val="clear" w:color="auto" w:fill="DDDDDD"/>
          </w:tcPr>
          <w:p>
            <w:pPr>
              <w:jc w:val="right"/>
              <w:ind w:right="229"/>
              <w:spacing w:after="0"/>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680" w:type="dxa"/>
            <w:vAlign w:val="bottom"/>
            <w:gridSpan w:val="2"/>
          </w:tcPr>
          <w:p>
            <w:pPr>
              <w:spacing w:after="0"/>
              <w:rPr>
                <w:sz w:val="20"/>
                <w:szCs w:val="20"/>
                <w:color w:val="auto"/>
              </w:rPr>
            </w:pPr>
            <w:r>
              <w:rPr>
                <w:rFonts w:ascii="Arial" w:cs="Arial" w:eastAsia="Arial" w:hAnsi="Arial"/>
                <w:sz w:val="14"/>
                <w:szCs w:val="14"/>
                <w:color w:val="auto"/>
              </w:rPr>
              <w:t>Jeffrey Lieberman</w:t>
            </w:r>
          </w:p>
        </w:tc>
        <w:tc>
          <w:tcPr>
            <w:tcW w:w="13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86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Lydia Paterson</w:t>
            </w:r>
          </w:p>
        </w:tc>
        <w:tc>
          <w:tcPr>
            <w:tcW w:w="1380" w:type="dxa"/>
            <w:vAlign w:val="bottom"/>
            <w:shd w:val="clear" w:color="auto" w:fill="DDDDDD"/>
          </w:tcPr>
          <w:p>
            <w:pPr>
              <w:jc w:val="right"/>
              <w:ind w:right="229"/>
              <w:spacing w:after="0"/>
              <w:rPr>
                <w:sz w:val="20"/>
                <w:szCs w:val="20"/>
                <w:color w:val="auto"/>
              </w:rPr>
            </w:pPr>
            <w:r>
              <w:rPr>
                <w:rFonts w:ascii="Arial" w:cs="Arial" w:eastAsia="Arial" w:hAnsi="Arial"/>
                <w:sz w:val="14"/>
                <w:szCs w:val="14"/>
                <w:color w:val="auto"/>
              </w:rPr>
              <w:t>367,000</w:t>
            </w:r>
          </w:p>
        </w:tc>
        <w:tc>
          <w:tcPr>
            <w:tcW w:w="96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367,000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jc w:val="both"/>
        <w:ind w:left="540" w:right="220" w:hanging="424"/>
        <w:spacing w:after="0" w:line="249"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We provide information regarding the assumptions used to calculate the value of all stock options granted to our directors in Note 13 to our audited financial statements included elsewhere in this prospectus.</w:t>
      </w:r>
    </w:p>
    <w:p>
      <w:pPr>
        <w:spacing w:after="0" w:line="195"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2020 by each non-employee director. None of our non-employee directors had stock awards outstanding as of December 31, 2020.</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Options outstanding</w:t>
            </w:r>
          </w:p>
        </w:tc>
      </w:tr>
      <w:tr>
        <w:trPr>
          <w:trHeight w:val="162"/>
        </w:trPr>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tcPr>
          <w:p>
            <w:pPr>
              <w:jc w:val="right"/>
              <w:ind w:right="308"/>
              <w:spacing w:after="0"/>
              <w:rPr>
                <w:sz w:val="20"/>
                <w:szCs w:val="20"/>
                <w:color w:val="auto"/>
              </w:rPr>
            </w:pPr>
            <w:r>
              <w:rPr>
                <w:rFonts w:ascii="Arial" w:cs="Arial" w:eastAsia="Arial" w:hAnsi="Arial"/>
                <w:sz w:val="14"/>
                <w:szCs w:val="14"/>
                <w:b w:val="1"/>
                <w:bCs w:val="1"/>
                <w:color w:val="auto"/>
              </w:rPr>
              <w:t>at year end</w:t>
            </w:r>
          </w:p>
        </w:tc>
      </w:tr>
      <w:tr>
        <w:trPr>
          <w:trHeight w:val="20"/>
        </w:trPr>
        <w:tc>
          <w:tcPr>
            <w:tcW w:w="380" w:type="dxa"/>
            <w:vAlign w:val="bottom"/>
            <w:tcBorders>
              <w:top w:val="single" w:sz="8" w:color="auto"/>
              <w:bottom w:val="single" w:sz="8" w:color="DDDDDD"/>
            </w:tcBorders>
          </w:tcPr>
          <w:p>
            <w:pPr>
              <w:spacing w:after="0" w:line="20" w:lineRule="exact"/>
              <w:rPr>
                <w:sz w:val="1"/>
                <w:szCs w:val="1"/>
                <w:color w:val="auto"/>
              </w:rPr>
            </w:pPr>
          </w:p>
        </w:tc>
        <w:tc>
          <w:tcPr>
            <w:tcW w:w="8240" w:type="dxa"/>
            <w:vAlign w:val="bottom"/>
            <w:tcBorders>
              <w:bottom w:val="single" w:sz="8" w:color="DDDDDD"/>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83"/>
        </w:trPr>
        <w:tc>
          <w:tcPr>
            <w:tcW w:w="862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Eren Bali</w:t>
            </w:r>
          </w:p>
        </w:tc>
        <w:tc>
          <w:tcPr>
            <w:tcW w:w="2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8620" w:type="dxa"/>
            <w:vAlign w:val="bottom"/>
            <w:gridSpan w:val="2"/>
          </w:tcPr>
          <w:p>
            <w:pPr>
              <w:spacing w:after="0"/>
              <w:rPr>
                <w:sz w:val="20"/>
                <w:szCs w:val="20"/>
                <w:color w:val="auto"/>
              </w:rPr>
            </w:pPr>
            <w:r>
              <w:rPr>
                <w:rFonts w:ascii="Arial" w:cs="Arial" w:eastAsia="Arial" w:hAnsi="Arial"/>
                <w:sz w:val="14"/>
                <w:szCs w:val="14"/>
                <w:color w:val="auto"/>
              </w:rPr>
              <w:t>Parker Barrile</w:t>
            </w:r>
          </w:p>
        </w:tc>
        <w:tc>
          <w:tcPr>
            <w:tcW w:w="2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862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Kenneth Fox</w:t>
            </w:r>
          </w:p>
        </w:tc>
        <w:tc>
          <w:tcPr>
            <w:tcW w:w="2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8620" w:type="dxa"/>
            <w:vAlign w:val="bottom"/>
            <w:gridSpan w:val="2"/>
          </w:tcPr>
          <w:p>
            <w:pPr>
              <w:spacing w:after="0"/>
              <w:rPr>
                <w:sz w:val="20"/>
                <w:szCs w:val="20"/>
                <w:color w:val="auto"/>
              </w:rPr>
            </w:pPr>
            <w:r>
              <w:rPr>
                <w:rFonts w:ascii="Arial" w:cs="Arial" w:eastAsia="Arial" w:hAnsi="Arial"/>
                <w:sz w:val="14"/>
                <w:szCs w:val="14"/>
                <w:color w:val="auto"/>
              </w:rPr>
              <w:t>Heather Hiles</w:t>
            </w:r>
          </w:p>
        </w:tc>
        <w:tc>
          <w:tcPr>
            <w:tcW w:w="2400" w:type="dxa"/>
            <w:vAlign w:val="bottom"/>
          </w:tcPr>
          <w:p>
            <w:pPr>
              <w:jc w:val="right"/>
              <w:ind w:right="8"/>
              <w:spacing w:after="0" w:line="216" w:lineRule="exact"/>
              <w:rPr>
                <w:sz w:val="20"/>
                <w:szCs w:val="20"/>
                <w:color w:val="auto"/>
              </w:rPr>
            </w:pPr>
            <w:r>
              <w:rPr>
                <w:rFonts w:ascii="Arial" w:cs="Arial" w:eastAsia="Arial" w:hAnsi="Arial"/>
                <w:sz w:val="14"/>
                <w:szCs w:val="14"/>
                <w:color w:val="auto"/>
              </w:rPr>
              <w:t>100,000</w:t>
            </w:r>
            <w:r>
              <w:rPr>
                <w:rFonts w:ascii="Arial" w:cs="Arial" w:eastAsia="Arial" w:hAnsi="Arial"/>
                <w:sz w:val="24"/>
                <w:szCs w:val="24"/>
                <w:color w:val="auto"/>
                <w:vertAlign w:val="superscript"/>
              </w:rPr>
              <w:t>(1)</w:t>
            </w:r>
          </w:p>
        </w:tc>
      </w:tr>
      <w:tr>
        <w:trPr>
          <w:trHeight w:val="216"/>
        </w:trPr>
        <w:tc>
          <w:tcPr>
            <w:tcW w:w="862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Lawrence Illg</w:t>
            </w:r>
          </w:p>
        </w:tc>
        <w:tc>
          <w:tcPr>
            <w:tcW w:w="2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8620" w:type="dxa"/>
            <w:vAlign w:val="bottom"/>
            <w:gridSpan w:val="2"/>
          </w:tcPr>
          <w:p>
            <w:pPr>
              <w:spacing w:after="0"/>
              <w:rPr>
                <w:sz w:val="20"/>
                <w:szCs w:val="20"/>
                <w:color w:val="auto"/>
              </w:rPr>
            </w:pPr>
            <w:r>
              <w:rPr>
                <w:rFonts w:ascii="Arial" w:cs="Arial" w:eastAsia="Arial" w:hAnsi="Arial"/>
                <w:sz w:val="14"/>
                <w:szCs w:val="14"/>
                <w:color w:val="auto"/>
              </w:rPr>
              <w:t>Jeffrey Lieberman</w:t>
            </w:r>
          </w:p>
        </w:tc>
        <w:tc>
          <w:tcPr>
            <w:tcW w:w="2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862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Lydia Paterson</w:t>
            </w:r>
          </w:p>
        </w:tc>
        <w:tc>
          <w:tcPr>
            <w:tcW w:w="2400" w:type="dxa"/>
            <w:vAlign w:val="bottom"/>
            <w:shd w:val="clear" w:color="auto" w:fill="DDDDDD"/>
          </w:tcPr>
          <w:p>
            <w:pPr>
              <w:jc w:val="right"/>
              <w:ind w:right="8"/>
              <w:spacing w:after="0" w:line="209" w:lineRule="exact"/>
              <w:rPr>
                <w:sz w:val="20"/>
                <w:szCs w:val="20"/>
                <w:color w:val="auto"/>
              </w:rPr>
            </w:pPr>
            <w:r>
              <w:rPr>
                <w:rFonts w:ascii="Arial" w:cs="Arial" w:eastAsia="Arial" w:hAnsi="Arial"/>
                <w:sz w:val="14"/>
                <w:szCs w:val="14"/>
                <w:color w:val="auto"/>
              </w:rPr>
              <w:t>100,000</w:t>
            </w:r>
            <w:r>
              <w:rPr>
                <w:rFonts w:ascii="Arial" w:cs="Arial" w:eastAsia="Arial" w:hAnsi="Arial"/>
                <w:sz w:val="24"/>
                <w:szCs w:val="24"/>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 on August 26, 2021 and the remaining shares vest monthly thereafter, subject to continued service.</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vested on December 15, 2020 and the remaining shares vest monthly thereafter, subject to continued service.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3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Our board of directors has adopted, and our stockholders have approved, a new compensation policy for our non-employee directors, which became effective as of the date of the first sale of our shares to the general public upon the closing of the underwritten public offering pursuant to the effectiveness of the registration statement of which this prospectus forms a part. This policy was developed with input from our independent compensation consultant regarding practices and compensation levels at comparable companies. It is designed to attract, retain, and reward non-employee directors.</w:t>
      </w:r>
    </w:p>
    <w:p>
      <w:pPr>
        <w:spacing w:after="0" w:line="202"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Under this compensation policy, each non-employee director will receive the cash and equity compensation for board services described below. We also will continue to reimburse our non-employee directors for reasonable, customary, and documented travel expenses to board of directors or committee meetings.</w:t>
      </w:r>
    </w:p>
    <w:p>
      <w:pPr>
        <w:spacing w:after="0" w:line="20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compensation policy includes a maximum annual limit of $750,000 of cash retainers or fees and equity awards that may be paid, issued, or granted to a non-employee director in any fiscal year, increased to $ 1,500,000 in an individual’s first year of service as a non-employee director.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26"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Following the completion of this offering, non-employee directors will be entitled to receive the following cash compensation for their services under the compensation policy:</w:t>
      </w:r>
    </w:p>
    <w:p>
      <w:pPr>
        <w:spacing w:after="0" w:line="102" w:lineRule="exact"/>
        <w:rPr>
          <w:sz w:val="20"/>
          <w:szCs w:val="20"/>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$35,000 per year for service as a board member;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$15,000 per year for service as a lead independent director;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$14,000 per year for service as chair of the compensation committee;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$7,000 per year for service as a member of the compensation committee;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governance committee;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governance committee.</w:t>
      </w:r>
    </w:p>
    <w:p>
      <w:pPr>
        <w:spacing w:after="0" w:line="21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Each non-employee director who serves as the chair of a committee will receive only the additional annual cash fee as the chair of the committee, and not the annual fee as a member of the committee, but each non-employee director who serves as the lead independent director will receive the annual fee for service as a board member and an additional annual fee as the lead independent director. All cash payments to non-employee directors are paid quarterly in arrears on a pro-rated basis.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i w:val="1"/>
          <w:iCs w:val="1"/>
          <w:color w:val="auto"/>
        </w:rPr>
        <w:t xml:space="preserve">Initial award. </w:t>
      </w:r>
      <w:r>
        <w:rPr>
          <w:rFonts w:ascii="Arial" w:cs="Arial" w:eastAsia="Arial" w:hAnsi="Arial"/>
          <w:sz w:val="18"/>
          <w:szCs w:val="18"/>
          <w:color w:val="auto"/>
        </w:rPr>
        <w:t>Each person who first becomes a non-employee director after the effective date of the policy will receive, on the first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or after the date on which the person first becomes a non-employee director, an initial award of restricted stock units, or the Initial Award, covering a number of shares of our common stock having a value equal to $360,000, with any resulting fraction rounded down to the nearest whole share. 1/3rd of the shares subject to the Initial Award will be scheduled to vest each year following the date of grant on the same day of the month as the date of grant (or, if there is no corresponding day in a particular month, then the last day of the month), in each case subject to the non-employee director continuing to be a non-employee director through the applicable vesting date. If the person was a member of our board of directors and also an employee, becoming a non-employee director due to termination of employment will not entitle them to an Initial Award.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auto"/>
        </w:rPr>
        <w:t xml:space="preserve">Annual award. </w:t>
      </w:r>
      <w:r>
        <w:rPr>
          <w:rFonts w:ascii="Arial" w:cs="Arial" w:eastAsia="Arial" w:hAnsi="Arial"/>
          <w:sz w:val="18"/>
          <w:szCs w:val="18"/>
          <w:color w:val="auto"/>
        </w:rPr>
        <w:t>Each non-employee director automatically will receive, on the date of each annual meeting of our stockholders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the policy, an annual award of restricted stock units, or an Annual Award, covering a number of shares of our common stock having a value of $180,000, but the first annual award granted to an individual who first becomes a non-employee director following the effective date of the policy will have a value equal to the product of (A) $180,000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with any resulting fraction rounded down to the nearest whole share. Each Annual Award will vest in full on the earlier of (i) the one-year anniversary of the grant date or (ii) the date of the next annual meeting of our stockholders following the grant date, in each case subject to the non-employee director continuing to be a non-employee director through the applicable vesting date.</w:t>
      </w:r>
    </w:p>
    <w:p>
      <w:pPr>
        <w:spacing w:after="0" w:line="20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For purposes of the annual limitation on non-employee director compensation, or the determination of the number of shares of our common stock that will be subject to each Initial Award or Annual Award, the value of equity awards is based on the grant date fair value (determined in accordance with GAAP), or such other methodology as our board of directors or a designated committee of our board of directors may determine prior to an equity award becoming effective.</w:t>
      </w:r>
    </w:p>
    <w:p>
      <w:pPr>
        <w:spacing w:after="0" w:line="205"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In the event of a “change in control” (as defined in our 2021 Plan), each non-employee director will fully vest in their outstanding equity awards issued under the director compensation policy, including any Initial Award or Annual Award, immediately prior to the consummation of the change in control if the non-employee director continues to be a non-employee director through such date.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 participation</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0"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Prior to the effectiveness of the registration statement of which this prospectus forms a part,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www.udemy.com.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prospectus and should not be considered to be part of this prospectus.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Executive compensation</w:t>
      </w:r>
    </w:p>
    <w:p>
      <w:pPr>
        <w:spacing w:after="0" w:line="14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Our named executive officers for 2020, which consist of each person who served as our principal executive officer during 2020 and our next two most highly compensated executive officers during 2020, are:</w:t>
      </w:r>
    </w:p>
    <w:p>
      <w:pPr>
        <w:spacing w:after="0" w:line="102" w:lineRule="exact"/>
        <w:rPr>
          <w:sz w:val="20"/>
          <w:szCs w:val="20"/>
          <w:color w:val="auto"/>
        </w:rPr>
      </w:pPr>
    </w:p>
    <w:p>
      <w:pPr>
        <w:ind w:left="760" w:hanging="320"/>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Gregg Coccari, our President and Chief Executive Officer;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Greg Brown, our President, Udemy Business;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Llibert Argerich, our Senior Vice President, Marketing.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30"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4"/>
                <w:szCs w:val="14"/>
                <w:color w:val="auto"/>
              </w:rPr>
            </w:pPr>
          </w:p>
        </w:tc>
      </w:tr>
      <w:tr>
        <w:trPr>
          <w:trHeight w:val="159"/>
        </w:trPr>
        <w:tc>
          <w:tcPr>
            <w:tcW w:w="19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auto"/>
              </w:rPr>
              <w:t>Salary</w:t>
            </w:r>
          </w:p>
        </w:tc>
        <w:tc>
          <w:tcPr>
            <w:tcW w:w="720" w:type="dxa"/>
            <w:vAlign w:val="bottom"/>
          </w:tcPr>
          <w:p>
            <w:pPr>
              <w:jc w:val="right"/>
              <w:ind w:right="90"/>
              <w:spacing w:after="0" w:line="159" w:lineRule="exact"/>
              <w:rPr>
                <w:sz w:val="20"/>
                <w:szCs w:val="20"/>
                <w:color w:val="auto"/>
              </w:rPr>
            </w:pPr>
            <w:r>
              <w:rPr>
                <w:rFonts w:ascii="Arial" w:cs="Arial" w:eastAsia="Arial" w:hAnsi="Arial"/>
                <w:sz w:val="14"/>
                <w:szCs w:val="14"/>
                <w:b w:val="1"/>
                <w:bCs w:val="1"/>
                <w:color w:val="auto"/>
              </w:rPr>
              <w:t>Bonus</w:t>
            </w:r>
          </w:p>
        </w:tc>
        <w:tc>
          <w:tcPr>
            <w:tcW w:w="8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auto"/>
              </w:rPr>
              <w:t>Total</w:t>
            </w:r>
          </w:p>
        </w:tc>
      </w:tr>
      <w:tr>
        <w:trPr>
          <w:trHeight w:val="199"/>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50"/>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820" w:type="dxa"/>
            <w:vAlign w:val="bottom"/>
          </w:tcPr>
          <w:p>
            <w:pPr>
              <w:jc w:val="center"/>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1140" w:type="dxa"/>
            <w:vAlign w:val="bottom"/>
          </w:tcPr>
          <w:p>
            <w:pPr>
              <w:jc w:val="center"/>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153"/>
        </w:trPr>
        <w:tc>
          <w:tcPr>
            <w:tcW w:w="1920" w:type="dxa"/>
            <w:vAlign w:val="bottom"/>
            <w:tcBorders>
              <w:top w:val="single" w:sz="8" w:color="auto"/>
            </w:tcBorders>
            <w:shd w:val="clear" w:color="auto" w:fill="DDDDDD"/>
          </w:tcPr>
          <w:p>
            <w:pPr>
              <w:spacing w:after="0" w:line="153" w:lineRule="exact"/>
              <w:rPr>
                <w:sz w:val="20"/>
                <w:szCs w:val="20"/>
                <w:color w:val="auto"/>
              </w:rPr>
            </w:pPr>
            <w:r>
              <w:rPr>
                <w:rFonts w:ascii="Arial" w:cs="Arial" w:eastAsia="Arial" w:hAnsi="Arial"/>
                <w:sz w:val="14"/>
                <w:szCs w:val="14"/>
                <w:color w:val="auto"/>
              </w:rPr>
              <w:t>Gregg Coccari</w:t>
            </w:r>
          </w:p>
        </w:tc>
        <w:tc>
          <w:tcPr>
            <w:tcW w:w="4300" w:type="dxa"/>
            <w:vAlign w:val="bottom"/>
            <w:tcBorders>
              <w:top w:val="single" w:sz="8" w:color="DDDDDD"/>
            </w:tcBorders>
            <w:shd w:val="clear" w:color="auto" w:fill="DDDDDD"/>
          </w:tcPr>
          <w:p>
            <w:pPr>
              <w:spacing w:after="0"/>
              <w:rPr>
                <w:sz w:val="13"/>
                <w:szCs w:val="13"/>
                <w:color w:val="auto"/>
              </w:rPr>
            </w:pPr>
          </w:p>
        </w:tc>
        <w:tc>
          <w:tcPr>
            <w:tcW w:w="560" w:type="dxa"/>
            <w:vAlign w:val="bottom"/>
            <w:tcBorders>
              <w:top w:val="single" w:sz="8" w:color="auto"/>
            </w:tcBorders>
            <w:shd w:val="clear" w:color="auto" w:fill="DDDDDD"/>
          </w:tcPr>
          <w:p>
            <w:pPr>
              <w:spacing w:after="0"/>
              <w:rPr>
                <w:sz w:val="13"/>
                <w:szCs w:val="13"/>
                <w:color w:val="auto"/>
              </w:rPr>
            </w:pPr>
          </w:p>
        </w:tc>
        <w:tc>
          <w:tcPr>
            <w:tcW w:w="720" w:type="dxa"/>
            <w:vAlign w:val="bottom"/>
            <w:tcBorders>
              <w:top w:val="single" w:sz="8" w:color="auto"/>
            </w:tcBorders>
            <w:shd w:val="clear" w:color="auto" w:fill="DDDDDD"/>
          </w:tcPr>
          <w:p>
            <w:pPr>
              <w:spacing w:after="0"/>
              <w:rPr>
                <w:sz w:val="13"/>
                <w:szCs w:val="13"/>
                <w:color w:val="auto"/>
              </w:rPr>
            </w:pPr>
          </w:p>
        </w:tc>
        <w:tc>
          <w:tcPr>
            <w:tcW w:w="720" w:type="dxa"/>
            <w:vAlign w:val="bottom"/>
            <w:tcBorders>
              <w:top w:val="single" w:sz="8" w:color="auto"/>
            </w:tcBorders>
            <w:shd w:val="clear" w:color="auto" w:fill="DDDDDD"/>
          </w:tcPr>
          <w:p>
            <w:pPr>
              <w:spacing w:after="0"/>
              <w:rPr>
                <w:sz w:val="13"/>
                <w:szCs w:val="13"/>
                <w:color w:val="auto"/>
              </w:rPr>
            </w:pPr>
          </w:p>
        </w:tc>
        <w:tc>
          <w:tcPr>
            <w:tcW w:w="820" w:type="dxa"/>
            <w:vAlign w:val="bottom"/>
            <w:tcBorders>
              <w:top w:val="single" w:sz="8" w:color="auto"/>
            </w:tcBorders>
            <w:shd w:val="clear" w:color="auto" w:fill="DDDDDD"/>
          </w:tcPr>
          <w:p>
            <w:pPr>
              <w:spacing w:after="0"/>
              <w:rPr>
                <w:sz w:val="13"/>
                <w:szCs w:val="13"/>
                <w:color w:val="auto"/>
              </w:rPr>
            </w:pPr>
          </w:p>
        </w:tc>
        <w:tc>
          <w:tcPr>
            <w:tcW w:w="1140" w:type="dxa"/>
            <w:vAlign w:val="bottom"/>
            <w:tcBorders>
              <w:top w:val="single" w:sz="8" w:color="auto"/>
            </w:tcBorders>
            <w:shd w:val="clear" w:color="auto" w:fill="DDDDDD"/>
          </w:tcPr>
          <w:p>
            <w:pPr>
              <w:spacing w:after="0"/>
              <w:rPr>
                <w:sz w:val="13"/>
                <w:szCs w:val="13"/>
                <w:color w:val="auto"/>
              </w:rPr>
            </w:pPr>
          </w:p>
        </w:tc>
        <w:tc>
          <w:tcPr>
            <w:tcW w:w="840" w:type="dxa"/>
            <w:vAlign w:val="bottom"/>
            <w:tcBorders>
              <w:top w:val="single" w:sz="8" w:color="auto"/>
            </w:tcBorders>
            <w:shd w:val="clear" w:color="auto" w:fill="DDDDDD"/>
          </w:tcPr>
          <w:p>
            <w:pPr>
              <w:spacing w:after="0"/>
              <w:rPr>
                <w:sz w:val="13"/>
                <w:szCs w:val="13"/>
                <w:color w:val="auto"/>
              </w:rPr>
            </w:pPr>
          </w:p>
        </w:tc>
      </w:tr>
      <w:tr>
        <w:trPr>
          <w:trHeight w:val="212"/>
        </w:trPr>
        <w:tc>
          <w:tcPr>
            <w:tcW w:w="6220" w:type="dxa"/>
            <w:vAlign w:val="bottom"/>
            <w:gridSpan w:val="2"/>
            <w:shd w:val="clear" w:color="auto" w:fill="DDDDDD"/>
          </w:tcPr>
          <w:p>
            <w:pPr>
              <w:ind w:left="260"/>
              <w:spacing w:after="0"/>
              <w:rPr>
                <w:sz w:val="20"/>
                <w:szCs w:val="20"/>
                <w:color w:val="auto"/>
              </w:rPr>
            </w:pPr>
            <w:r>
              <w:rPr>
                <w:rFonts w:ascii="Arial" w:cs="Arial" w:eastAsia="Arial" w:hAnsi="Arial"/>
                <w:sz w:val="14"/>
                <w:szCs w:val="14"/>
                <w:i w:val="1"/>
                <w:iCs w:val="1"/>
                <w:color w:val="auto"/>
              </w:rPr>
              <w:t>President and Chief Executive Officer</w:t>
            </w:r>
          </w:p>
        </w:tc>
        <w:tc>
          <w:tcPr>
            <w:tcW w:w="560" w:type="dxa"/>
            <w:vAlign w:val="bottom"/>
            <w:shd w:val="clear" w:color="auto" w:fill="DDDDDD"/>
          </w:tcPr>
          <w:p>
            <w:pPr>
              <w:ind w:left="160"/>
              <w:spacing w:after="0"/>
              <w:rPr>
                <w:sz w:val="20"/>
                <w:szCs w:val="20"/>
                <w:color w:val="auto"/>
              </w:rPr>
            </w:pPr>
            <w:r>
              <w:rPr>
                <w:rFonts w:ascii="Arial" w:cs="Arial" w:eastAsia="Arial" w:hAnsi="Arial"/>
                <w:sz w:val="14"/>
                <w:szCs w:val="14"/>
                <w:color w:val="auto"/>
              </w:rPr>
              <w:t>2020</w:t>
            </w:r>
          </w:p>
        </w:tc>
        <w:tc>
          <w:tcPr>
            <w:tcW w:w="72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400,000</w:t>
            </w:r>
          </w:p>
        </w:tc>
        <w:tc>
          <w:tcPr>
            <w:tcW w:w="720" w:type="dxa"/>
            <w:vAlign w:val="bottom"/>
            <w:shd w:val="clear" w:color="auto" w:fill="DDDDDD"/>
          </w:tcPr>
          <w:p>
            <w:pPr>
              <w:jc w:val="right"/>
              <w:ind w:right="30"/>
              <w:spacing w:after="0"/>
              <w:rPr>
                <w:sz w:val="20"/>
                <w:szCs w:val="20"/>
                <w:color w:val="auto"/>
              </w:rPr>
            </w:pPr>
            <w:r>
              <w:rPr>
                <w:rFonts w:ascii="Arial" w:cs="Arial" w:eastAsia="Arial" w:hAnsi="Arial"/>
                <w:sz w:val="14"/>
                <w:szCs w:val="14"/>
                <w:color w:val="auto"/>
              </w:rPr>
              <w:t>240,000</w:t>
            </w:r>
          </w:p>
        </w:tc>
        <w:tc>
          <w:tcPr>
            <w:tcW w:w="82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auto"/>
              </w:rPr>
              <w:t>6,939,496</w:t>
            </w:r>
          </w:p>
        </w:tc>
        <w:tc>
          <w:tcPr>
            <w:tcW w:w="114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auto"/>
              </w:rPr>
              <w:t>172,918</w:t>
            </w:r>
          </w:p>
        </w:tc>
        <w:tc>
          <w:tcPr>
            <w:tcW w:w="8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7,752,414</w:t>
            </w:r>
          </w:p>
        </w:tc>
      </w:tr>
      <w:tr>
        <w:trPr>
          <w:trHeight w:val="153"/>
        </w:trPr>
        <w:tc>
          <w:tcPr>
            <w:tcW w:w="6220" w:type="dxa"/>
            <w:vAlign w:val="bottom"/>
            <w:gridSpan w:val="2"/>
          </w:tcPr>
          <w:p>
            <w:pPr>
              <w:spacing w:after="0" w:line="153" w:lineRule="exact"/>
              <w:rPr>
                <w:sz w:val="20"/>
                <w:szCs w:val="20"/>
                <w:color w:val="auto"/>
              </w:rPr>
            </w:pPr>
            <w:r>
              <w:rPr>
                <w:rFonts w:ascii="Arial" w:cs="Arial" w:eastAsia="Arial" w:hAnsi="Arial"/>
                <w:sz w:val="11"/>
                <w:szCs w:val="11"/>
                <w:color w:val="auto"/>
              </w:rPr>
              <w:t>Gregory Brown</w:t>
            </w:r>
            <w:r>
              <w:rPr>
                <w:rFonts w:ascii="Arial" w:cs="Arial" w:eastAsia="Arial" w:hAnsi="Arial"/>
                <w:sz w:val="17"/>
                <w:szCs w:val="17"/>
                <w:color w:val="auto"/>
                <w:vertAlign w:val="superscript"/>
              </w:rPr>
              <w:t>(4)</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5"/>
        </w:trPr>
        <w:tc>
          <w:tcPr>
            <w:tcW w:w="6220" w:type="dxa"/>
            <w:vAlign w:val="bottom"/>
            <w:gridSpan w:val="2"/>
          </w:tcPr>
          <w:p>
            <w:pPr>
              <w:ind w:left="260"/>
              <w:spacing w:after="0"/>
              <w:rPr>
                <w:sz w:val="20"/>
                <w:szCs w:val="20"/>
                <w:color w:val="auto"/>
              </w:rPr>
            </w:pPr>
            <w:r>
              <w:rPr>
                <w:rFonts w:ascii="Arial" w:cs="Arial" w:eastAsia="Arial" w:hAnsi="Arial"/>
                <w:sz w:val="14"/>
                <w:szCs w:val="14"/>
                <w:i w:val="1"/>
                <w:iCs w:val="1"/>
                <w:color w:val="auto"/>
              </w:rPr>
              <w:t>President, Udemy Business</w:t>
            </w:r>
          </w:p>
        </w:tc>
        <w:tc>
          <w:tcPr>
            <w:tcW w:w="560" w:type="dxa"/>
            <w:vAlign w:val="bottom"/>
          </w:tcPr>
          <w:p>
            <w:pPr>
              <w:ind w:left="160"/>
              <w:spacing w:after="0"/>
              <w:rPr>
                <w:sz w:val="20"/>
                <w:szCs w:val="20"/>
                <w:color w:val="auto"/>
              </w:rPr>
            </w:pPr>
            <w:r>
              <w:rPr>
                <w:rFonts w:ascii="Arial" w:cs="Arial" w:eastAsia="Arial" w:hAnsi="Arial"/>
                <w:sz w:val="14"/>
                <w:szCs w:val="14"/>
                <w:color w:val="auto"/>
              </w:rPr>
              <w:t>2020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41,667</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25,000</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6,902,000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417</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6,969,084</w:t>
            </w:r>
          </w:p>
        </w:tc>
      </w:tr>
      <w:tr>
        <w:trPr>
          <w:trHeight w:val="180"/>
        </w:trPr>
        <w:tc>
          <w:tcPr>
            <w:tcW w:w="622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Llibert Argerich</w:t>
            </w:r>
          </w:p>
        </w:tc>
        <w:tc>
          <w:tcPr>
            <w:tcW w:w="56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820" w:type="dxa"/>
            <w:vAlign w:val="bottom"/>
            <w:shd w:val="clear" w:color="auto" w:fill="DDDDDD"/>
          </w:tcPr>
          <w:p>
            <w:pPr>
              <w:spacing w:after="0"/>
              <w:rPr>
                <w:sz w:val="15"/>
                <w:szCs w:val="15"/>
                <w:color w:val="auto"/>
              </w:rPr>
            </w:pPr>
          </w:p>
        </w:tc>
        <w:tc>
          <w:tcPr>
            <w:tcW w:w="1140" w:type="dxa"/>
            <w:vAlign w:val="bottom"/>
            <w:shd w:val="clear" w:color="auto" w:fill="DDDDDD"/>
          </w:tcPr>
          <w:p>
            <w:pPr>
              <w:spacing w:after="0"/>
              <w:rPr>
                <w:sz w:val="15"/>
                <w:szCs w:val="15"/>
                <w:color w:val="auto"/>
              </w:rPr>
            </w:pPr>
          </w:p>
        </w:tc>
        <w:tc>
          <w:tcPr>
            <w:tcW w:w="840" w:type="dxa"/>
            <w:vAlign w:val="bottom"/>
            <w:shd w:val="clear" w:color="auto" w:fill="DDDDDD"/>
          </w:tcPr>
          <w:p>
            <w:pPr>
              <w:spacing w:after="0"/>
              <w:rPr>
                <w:sz w:val="15"/>
                <w:szCs w:val="15"/>
                <w:color w:val="auto"/>
              </w:rPr>
            </w:pPr>
          </w:p>
        </w:tc>
      </w:tr>
      <w:tr>
        <w:trPr>
          <w:trHeight w:val="212"/>
        </w:trPr>
        <w:tc>
          <w:tcPr>
            <w:tcW w:w="6220" w:type="dxa"/>
            <w:vAlign w:val="bottom"/>
            <w:gridSpan w:val="2"/>
            <w:shd w:val="clear" w:color="auto" w:fill="DDDDDD"/>
          </w:tcPr>
          <w:p>
            <w:pPr>
              <w:ind w:left="260"/>
              <w:spacing w:after="0"/>
              <w:rPr>
                <w:sz w:val="20"/>
                <w:szCs w:val="20"/>
                <w:color w:val="auto"/>
              </w:rPr>
            </w:pPr>
            <w:r>
              <w:rPr>
                <w:rFonts w:ascii="Arial" w:cs="Arial" w:eastAsia="Arial" w:hAnsi="Arial"/>
                <w:sz w:val="14"/>
                <w:szCs w:val="14"/>
                <w:i w:val="1"/>
                <w:iCs w:val="1"/>
                <w:color w:val="auto"/>
              </w:rPr>
              <w:t>Senior Vice President, Marketing</w:t>
            </w:r>
          </w:p>
        </w:tc>
        <w:tc>
          <w:tcPr>
            <w:tcW w:w="560" w:type="dxa"/>
            <w:vAlign w:val="bottom"/>
            <w:shd w:val="clear" w:color="auto" w:fill="DDDDDD"/>
          </w:tcPr>
          <w:p>
            <w:pPr>
              <w:ind w:left="160"/>
              <w:spacing w:after="0"/>
              <w:rPr>
                <w:sz w:val="20"/>
                <w:szCs w:val="20"/>
                <w:color w:val="auto"/>
              </w:rPr>
            </w:pPr>
            <w:r>
              <w:rPr>
                <w:rFonts w:ascii="Arial" w:cs="Arial" w:eastAsia="Arial" w:hAnsi="Arial"/>
                <w:sz w:val="14"/>
                <w:szCs w:val="14"/>
                <w:color w:val="auto"/>
              </w:rPr>
              <w:t>2020</w:t>
            </w:r>
          </w:p>
        </w:tc>
        <w:tc>
          <w:tcPr>
            <w:tcW w:w="72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rPr>
              <w:t>303,333</w:t>
            </w:r>
          </w:p>
        </w:tc>
        <w:tc>
          <w:tcPr>
            <w:tcW w:w="720" w:type="dxa"/>
            <w:vAlign w:val="bottom"/>
            <w:shd w:val="clear" w:color="auto" w:fill="DDDDDD"/>
          </w:tcPr>
          <w:p>
            <w:pPr>
              <w:jc w:val="right"/>
              <w:ind w:right="30"/>
              <w:spacing w:after="0"/>
              <w:rPr>
                <w:sz w:val="20"/>
                <w:szCs w:val="20"/>
                <w:color w:val="auto"/>
              </w:rPr>
            </w:pPr>
            <w:r>
              <w:rPr>
                <w:rFonts w:ascii="Arial" w:cs="Arial" w:eastAsia="Arial" w:hAnsi="Arial"/>
                <w:sz w:val="14"/>
                <w:szCs w:val="14"/>
                <w:color w:val="auto"/>
              </w:rPr>
              <w:t>121,915</w:t>
            </w:r>
          </w:p>
        </w:tc>
        <w:tc>
          <w:tcPr>
            <w:tcW w:w="82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auto"/>
              </w:rPr>
              <w:t>1,110,000</w:t>
            </w:r>
          </w:p>
        </w:tc>
        <w:tc>
          <w:tcPr>
            <w:tcW w:w="114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auto"/>
              </w:rPr>
              <w:t>500</w:t>
            </w:r>
          </w:p>
        </w:tc>
        <w:tc>
          <w:tcPr>
            <w:tcW w:w="8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1,535,748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right="320" w:hanging="424"/>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reported consist of discretionary bonuses paid in 2021 in recognition of our company’s performance in 2020 and the individual’s contributions to that performance.</w:t>
      </w:r>
    </w:p>
    <w:p>
      <w:pPr>
        <w:spacing w:after="0" w:line="45" w:lineRule="exact"/>
        <w:rPr>
          <w:rFonts w:ascii="Arial" w:cs="Arial" w:eastAsia="Arial" w:hAnsi="Arial"/>
          <w:sz w:val="14"/>
          <w:szCs w:val="14"/>
          <w:color w:val="auto"/>
        </w:rPr>
      </w:pPr>
    </w:p>
    <w:p>
      <w:pPr>
        <w:ind w:left="540" w:right="40" w:hanging="424"/>
        <w:spacing w:after="0" w:line="249"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Note 13 to our audited financial statements included elsewhere in this prospectus. These amounts do not correspond to the actual value that may be recognized by our named executive officers upon vesting of the applicable awards.</w:t>
      </w:r>
    </w:p>
    <w:p>
      <w:pPr>
        <w:spacing w:after="0" w:line="52" w:lineRule="exact"/>
        <w:rPr>
          <w:rFonts w:ascii="Arial" w:cs="Arial" w:eastAsia="Arial" w:hAnsi="Arial"/>
          <w:sz w:val="14"/>
          <w:szCs w:val="14"/>
          <w:color w:val="auto"/>
        </w:rPr>
      </w:pPr>
    </w:p>
    <w:p>
      <w:pPr>
        <w:jc w:val="both"/>
        <w:ind w:left="540" w:right="200" w:hanging="424"/>
        <w:spacing w:after="0" w:line="249"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 2020, we paid Mr. Coccari a stipend of $9,300 per month to assist with housing and personal travel costs, plus an amount sufficient to ensure that the payment of the monthly stipend was tax neutral to Mr. Coccari. The amounts reported consist of (i) for Mr. Coccari, aggregate stipend payments of $111,636 and aggregate tax neutrality payments of $61,282, and (ii) for Messrs. Brown and Argerich, amounts paid for matching 401(k) contributions by us.</w:t>
      </w:r>
    </w:p>
    <w:p>
      <w:pPr>
        <w:spacing w:after="0" w:line="52" w:lineRule="exact"/>
        <w:rPr>
          <w:rFonts w:ascii="Arial" w:cs="Arial" w:eastAsia="Arial" w:hAnsi="Arial"/>
          <w:sz w:val="14"/>
          <w:szCs w:val="14"/>
          <w:color w:val="auto"/>
        </w:rPr>
      </w:pPr>
    </w:p>
    <w:p>
      <w:pPr>
        <w:ind w:left="540" w:hanging="424"/>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Brown commenced employment with us in November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as of December 31, 2020</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ind w:left="120"/>
        <w:spacing w:after="0"/>
        <w:rPr>
          <w:sz w:val="20"/>
          <w:szCs w:val="20"/>
          <w:color w:val="auto"/>
        </w:rPr>
      </w:pPr>
      <w:r>
        <w:rPr>
          <w:rFonts w:ascii="Arial" w:cs="Arial" w:eastAsia="Arial" w:hAnsi="Arial"/>
          <w:sz w:val="18"/>
          <w:szCs w:val="18"/>
          <w:color w:val="auto"/>
        </w:rPr>
        <w:t>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42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420" w:type="dxa"/>
            <w:vAlign w:val="bottom"/>
          </w:tcPr>
          <w:p>
            <w:pPr>
              <w:jc w:val="center"/>
              <w:ind w:right="31"/>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420" w:type="dxa"/>
            <w:vAlign w:val="bottom"/>
          </w:tcPr>
          <w:p>
            <w:pPr>
              <w:jc w:val="center"/>
              <w:ind w:right="51"/>
              <w:spacing w:after="0"/>
              <w:rPr>
                <w:sz w:val="20"/>
                <w:szCs w:val="20"/>
                <w:color w:val="auto"/>
              </w:rPr>
            </w:pPr>
            <w:r>
              <w:rPr>
                <w:rFonts w:ascii="Arial" w:cs="Arial" w:eastAsia="Arial" w:hAnsi="Arial"/>
                <w:sz w:val="14"/>
                <w:szCs w:val="14"/>
                <w:b w:val="1"/>
                <w:bCs w:val="1"/>
                <w:color w:val="auto"/>
              </w:rPr>
              <w:t>underlying</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420" w:type="dxa"/>
            <w:vAlign w:val="bottom"/>
          </w:tcPr>
          <w:p>
            <w:pPr>
              <w:jc w:val="center"/>
              <w:ind w:right="31"/>
              <w:spacing w:after="0"/>
              <w:rPr>
                <w:sz w:val="20"/>
                <w:szCs w:val="20"/>
                <w:color w:val="auto"/>
              </w:rPr>
            </w:pPr>
            <w:r>
              <w:rPr>
                <w:rFonts w:ascii="Arial" w:cs="Arial" w:eastAsia="Arial" w:hAnsi="Arial"/>
                <w:sz w:val="14"/>
                <w:szCs w:val="14"/>
                <w:b w:val="1"/>
                <w:bCs w:val="1"/>
                <w:color w:val="auto"/>
              </w:rPr>
              <w:t>unexercised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420" w:type="dxa"/>
            <w:vAlign w:val="bottom"/>
          </w:tcPr>
          <w:p>
            <w:pPr>
              <w:jc w:val="center"/>
              <w:ind w:right="31"/>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Option</w:t>
            </w: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Grant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420" w:type="dxa"/>
            <w:vAlign w:val="bottom"/>
          </w:tcPr>
          <w:p>
            <w:pPr>
              <w:jc w:val="center"/>
              <w:ind w:right="31"/>
              <w:spacing w:after="0"/>
              <w:rPr>
                <w:sz w:val="20"/>
                <w:szCs w:val="20"/>
                <w:color w:val="auto"/>
              </w:rPr>
            </w:pPr>
            <w:r>
              <w:rPr>
                <w:rFonts w:ascii="Arial" w:cs="Arial" w:eastAsia="Arial" w:hAnsi="Arial"/>
                <w:sz w:val="14"/>
                <w:szCs w:val="14"/>
                <w:b w:val="1"/>
                <w:bCs w:val="1"/>
                <w:color w:val="auto"/>
              </w:rPr>
              <w:t>unexercisable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ind w:right="51"/>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340"/>
              <w:spacing w:after="0"/>
              <w:rPr>
                <w:sz w:val="20"/>
                <w:szCs w:val="20"/>
                <w:color w:val="auto"/>
              </w:rPr>
            </w:pPr>
            <w:r>
              <w:rPr>
                <w:rFonts w:ascii="Arial" w:cs="Arial" w:eastAsia="Arial" w:hAnsi="Arial"/>
                <w:sz w:val="14"/>
                <w:szCs w:val="14"/>
                <w:b w:val="1"/>
                <w:bCs w:val="1"/>
                <w:color w:val="auto"/>
              </w:rPr>
              <w:t>date</w:t>
            </w:r>
          </w:p>
        </w:tc>
      </w:tr>
      <w:tr>
        <w:trPr>
          <w:trHeight w:val="20"/>
        </w:trPr>
        <w:tc>
          <w:tcPr>
            <w:tcW w:w="380" w:type="dxa"/>
            <w:vAlign w:val="bottom"/>
            <w:tcBorders>
              <w:top w:val="single" w:sz="8" w:color="auto"/>
            </w:tcBorders>
            <w:shd w:val="clear" w:color="auto" w:fill="DDDDDD"/>
          </w:tcPr>
          <w:p>
            <w:pPr>
              <w:spacing w:after="0" w:line="20" w:lineRule="exact"/>
              <w:rPr>
                <w:sz w:val="1"/>
                <w:szCs w:val="1"/>
                <w:color w:val="auto"/>
              </w:rPr>
            </w:pPr>
          </w:p>
        </w:tc>
        <w:tc>
          <w:tcPr>
            <w:tcW w:w="5260" w:type="dxa"/>
            <w:vAlign w:val="bottom"/>
            <w:shd w:val="clear" w:color="auto" w:fill="DDDDDD"/>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190"/>
        </w:trPr>
        <w:tc>
          <w:tcPr>
            <w:tcW w:w="564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Gregg Coccari</w:t>
            </w:r>
          </w:p>
        </w:tc>
        <w:tc>
          <w:tcPr>
            <w:tcW w:w="11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03/14/2019</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2,135,852</w:t>
            </w:r>
          </w:p>
        </w:tc>
        <w:tc>
          <w:tcPr>
            <w:tcW w:w="1420" w:type="dxa"/>
            <w:vAlign w:val="bottom"/>
            <w:shd w:val="clear" w:color="auto" w:fill="DDDDDD"/>
          </w:tcPr>
          <w:p>
            <w:pPr>
              <w:jc w:val="right"/>
              <w:ind w:right="71"/>
              <w:spacing w:after="0" w:line="190" w:lineRule="exact"/>
              <w:rPr>
                <w:sz w:val="20"/>
                <w:szCs w:val="20"/>
                <w:color w:val="auto"/>
              </w:rPr>
            </w:pPr>
            <w:r>
              <w:rPr>
                <w:rFonts w:ascii="Arial" w:cs="Arial" w:eastAsia="Arial" w:hAnsi="Arial"/>
                <w:sz w:val="13"/>
                <w:szCs w:val="13"/>
                <w:color w:val="auto"/>
              </w:rPr>
              <w:t>2,784,189</w:t>
            </w:r>
            <w:r>
              <w:rPr>
                <w:rFonts w:ascii="Arial" w:cs="Arial" w:eastAsia="Arial" w:hAnsi="Arial"/>
                <w:sz w:val="21"/>
                <w:szCs w:val="21"/>
                <w:color w:val="auto"/>
                <w:vertAlign w:val="superscript"/>
              </w:rPr>
              <w:t>(1)</w:t>
            </w:r>
          </w:p>
        </w:tc>
        <w:tc>
          <w:tcPr>
            <w:tcW w:w="8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3.12</w:t>
            </w:r>
          </w:p>
        </w:tc>
        <w:tc>
          <w:tcPr>
            <w:tcW w:w="920" w:type="dxa"/>
            <w:vAlign w:val="bottom"/>
            <w:shd w:val="clear" w:color="auto" w:fill="DDDDDD"/>
          </w:tcPr>
          <w:p>
            <w:pPr>
              <w:ind w:left="160"/>
              <w:spacing w:after="0"/>
              <w:rPr>
                <w:sz w:val="20"/>
                <w:szCs w:val="20"/>
                <w:color w:val="auto"/>
              </w:rPr>
            </w:pPr>
            <w:r>
              <w:rPr>
                <w:rFonts w:ascii="Arial" w:cs="Arial" w:eastAsia="Arial" w:hAnsi="Arial"/>
                <w:sz w:val="14"/>
                <w:szCs w:val="14"/>
                <w:color w:val="auto"/>
              </w:rPr>
              <w:t>03/13/2029</w:t>
            </w: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05/19/2020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252,651</w:t>
            </w:r>
          </w:p>
        </w:tc>
        <w:tc>
          <w:tcPr>
            <w:tcW w:w="1420" w:type="dxa"/>
            <w:vAlign w:val="bottom"/>
          </w:tcPr>
          <w:p>
            <w:pPr>
              <w:jc w:val="right"/>
              <w:ind w:right="71"/>
              <w:spacing w:after="0" w:line="162" w:lineRule="exact"/>
              <w:rPr>
                <w:sz w:val="20"/>
                <w:szCs w:val="20"/>
                <w:color w:val="auto"/>
              </w:rPr>
            </w:pPr>
            <w:r>
              <w:rPr>
                <w:rFonts w:ascii="Arial" w:cs="Arial" w:eastAsia="Arial" w:hAnsi="Arial"/>
                <w:sz w:val="11"/>
                <w:szCs w:val="11"/>
                <w:color w:val="auto"/>
              </w:rPr>
              <w:t>1,094,824</w:t>
            </w:r>
            <w:r>
              <w:rPr>
                <w:rFonts w:ascii="Arial" w:cs="Arial" w:eastAsia="Arial" w:hAnsi="Arial"/>
                <w:sz w:val="18"/>
                <w:szCs w:val="18"/>
                <w:color w:val="auto"/>
                <w:vertAlign w:val="superscript"/>
              </w:rPr>
              <w:t>(2)</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6.58</w:t>
            </w:r>
          </w:p>
        </w:tc>
        <w:tc>
          <w:tcPr>
            <w:tcW w:w="920" w:type="dxa"/>
            <w:vAlign w:val="bottom"/>
          </w:tcPr>
          <w:p>
            <w:pPr>
              <w:ind w:left="160"/>
              <w:spacing w:after="0"/>
              <w:rPr>
                <w:sz w:val="20"/>
                <w:szCs w:val="20"/>
                <w:color w:val="auto"/>
              </w:rPr>
            </w:pPr>
            <w:r>
              <w:rPr>
                <w:rFonts w:ascii="Arial" w:cs="Arial" w:eastAsia="Arial" w:hAnsi="Arial"/>
                <w:sz w:val="14"/>
                <w:szCs w:val="14"/>
                <w:color w:val="auto"/>
              </w:rPr>
              <w:t>05/18/2030</w:t>
            </w:r>
          </w:p>
        </w:tc>
      </w:tr>
      <w:tr>
        <w:trPr>
          <w:trHeight w:val="216"/>
        </w:trPr>
        <w:tc>
          <w:tcPr>
            <w:tcW w:w="564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Gregory Brown</w:t>
            </w:r>
          </w:p>
        </w:tc>
        <w:tc>
          <w:tcPr>
            <w:tcW w:w="11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11/23/2020</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DDDDDD"/>
          </w:tcPr>
          <w:p>
            <w:pPr>
              <w:jc w:val="right"/>
              <w:ind w:right="71"/>
              <w:spacing w:after="0" w:line="216" w:lineRule="exact"/>
              <w:rPr>
                <w:sz w:val="20"/>
                <w:szCs w:val="20"/>
                <w:color w:val="auto"/>
              </w:rPr>
            </w:pPr>
            <w:r>
              <w:rPr>
                <w:rFonts w:ascii="Arial" w:cs="Arial" w:eastAsia="Arial" w:hAnsi="Arial"/>
                <w:sz w:val="14"/>
                <w:szCs w:val="14"/>
                <w:color w:val="auto"/>
              </w:rPr>
              <w:t>1,100,000</w:t>
            </w:r>
            <w:r>
              <w:rPr>
                <w:rFonts w:ascii="Arial" w:cs="Arial" w:eastAsia="Arial" w:hAnsi="Arial"/>
                <w:sz w:val="24"/>
                <w:szCs w:val="24"/>
                <w:color w:val="auto"/>
                <w:vertAlign w:val="superscript"/>
              </w:rPr>
              <w:t>(3)</w:t>
            </w:r>
          </w:p>
        </w:tc>
        <w:tc>
          <w:tcPr>
            <w:tcW w:w="8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11.13</w:t>
            </w:r>
          </w:p>
        </w:tc>
        <w:tc>
          <w:tcPr>
            <w:tcW w:w="920" w:type="dxa"/>
            <w:vAlign w:val="bottom"/>
            <w:shd w:val="clear" w:color="auto" w:fill="DDDDDD"/>
          </w:tcPr>
          <w:p>
            <w:pPr>
              <w:ind w:left="160"/>
              <w:spacing w:after="0"/>
              <w:rPr>
                <w:sz w:val="20"/>
                <w:szCs w:val="20"/>
                <w:color w:val="auto"/>
              </w:rPr>
            </w:pPr>
            <w:r>
              <w:rPr>
                <w:rFonts w:ascii="Arial" w:cs="Arial" w:eastAsia="Arial" w:hAnsi="Arial"/>
                <w:sz w:val="14"/>
                <w:szCs w:val="14"/>
                <w:color w:val="auto"/>
              </w:rPr>
              <w:t>11/22/2030</w:t>
            </w:r>
          </w:p>
        </w:tc>
      </w:tr>
      <w:tr>
        <w:trPr>
          <w:trHeight w:val="162"/>
        </w:trPr>
        <w:tc>
          <w:tcPr>
            <w:tcW w:w="5640" w:type="dxa"/>
            <w:vAlign w:val="bottom"/>
            <w:gridSpan w:val="2"/>
          </w:tcPr>
          <w:p>
            <w:pPr>
              <w:spacing w:after="0"/>
              <w:rPr>
                <w:sz w:val="20"/>
                <w:szCs w:val="20"/>
                <w:color w:val="auto"/>
              </w:rPr>
            </w:pPr>
            <w:r>
              <w:rPr>
                <w:rFonts w:ascii="Arial" w:cs="Arial" w:eastAsia="Arial" w:hAnsi="Arial"/>
                <w:sz w:val="14"/>
                <w:szCs w:val="14"/>
                <w:color w:val="auto"/>
              </w:rPr>
              <w:t>Llibert Argerich</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07/30/2018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16,760</w:t>
            </w:r>
          </w:p>
        </w:tc>
        <w:tc>
          <w:tcPr>
            <w:tcW w:w="1420" w:type="dxa"/>
            <w:vAlign w:val="bottom"/>
          </w:tcPr>
          <w:p>
            <w:pPr>
              <w:jc w:val="right"/>
              <w:ind w:right="71"/>
              <w:spacing w:after="0" w:line="162" w:lineRule="exact"/>
              <w:rPr>
                <w:sz w:val="20"/>
                <w:szCs w:val="20"/>
                <w:color w:val="auto"/>
              </w:rPr>
            </w:pPr>
            <w:r>
              <w:rPr>
                <w:rFonts w:ascii="Arial" w:cs="Arial" w:eastAsia="Arial" w:hAnsi="Arial"/>
                <w:sz w:val="11"/>
                <w:szCs w:val="11"/>
                <w:color w:val="auto"/>
              </w:rPr>
              <w:t>18,750</w:t>
            </w:r>
            <w:r>
              <w:rPr>
                <w:rFonts w:ascii="Arial" w:cs="Arial" w:eastAsia="Arial" w:hAnsi="Arial"/>
                <w:sz w:val="18"/>
                <w:szCs w:val="18"/>
                <w:color w:val="auto"/>
                <w:vertAlign w:val="superscript"/>
              </w:rPr>
              <w:t>(4)</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3.06</w:t>
            </w:r>
          </w:p>
        </w:tc>
        <w:tc>
          <w:tcPr>
            <w:tcW w:w="920" w:type="dxa"/>
            <w:vAlign w:val="bottom"/>
          </w:tcPr>
          <w:p>
            <w:pPr>
              <w:ind w:left="160"/>
              <w:spacing w:after="0"/>
              <w:rPr>
                <w:sz w:val="20"/>
                <w:szCs w:val="20"/>
                <w:color w:val="auto"/>
              </w:rPr>
            </w:pPr>
            <w:r>
              <w:rPr>
                <w:rFonts w:ascii="Arial" w:cs="Arial" w:eastAsia="Arial" w:hAnsi="Arial"/>
                <w:sz w:val="14"/>
                <w:szCs w:val="14"/>
                <w:color w:val="auto"/>
              </w:rPr>
              <w:t>07/29/2028</w:t>
            </w:r>
          </w:p>
        </w:tc>
      </w:tr>
      <w:tr>
        <w:trPr>
          <w:trHeight w:val="216"/>
        </w:trPr>
        <w:tc>
          <w:tcPr>
            <w:tcW w:w="380" w:type="dxa"/>
            <w:vAlign w:val="bottom"/>
            <w:shd w:val="clear" w:color="auto" w:fill="DDDDDD"/>
          </w:tcPr>
          <w:p>
            <w:pPr>
              <w:spacing w:after="0"/>
              <w:rPr>
                <w:sz w:val="18"/>
                <w:szCs w:val="18"/>
                <w:color w:val="auto"/>
              </w:rPr>
            </w:pPr>
          </w:p>
        </w:tc>
        <w:tc>
          <w:tcPr>
            <w:tcW w:w="5260" w:type="dxa"/>
            <w:vAlign w:val="bottom"/>
            <w:shd w:val="clear" w:color="auto" w:fill="DDDDDD"/>
          </w:tcPr>
          <w:p>
            <w:pPr>
              <w:spacing w:after="0"/>
              <w:rPr>
                <w:sz w:val="18"/>
                <w:szCs w:val="18"/>
                <w:color w:val="auto"/>
              </w:rPr>
            </w:pPr>
          </w:p>
        </w:tc>
        <w:tc>
          <w:tcPr>
            <w:tcW w:w="11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10/12/2018</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9,375</w:t>
            </w:r>
          </w:p>
        </w:tc>
        <w:tc>
          <w:tcPr>
            <w:tcW w:w="1420" w:type="dxa"/>
            <w:vAlign w:val="bottom"/>
            <w:shd w:val="clear" w:color="auto" w:fill="DDDDDD"/>
          </w:tcPr>
          <w:p>
            <w:pPr>
              <w:jc w:val="right"/>
              <w:ind w:right="71"/>
              <w:spacing w:after="0" w:line="216" w:lineRule="exact"/>
              <w:rPr>
                <w:sz w:val="20"/>
                <w:szCs w:val="20"/>
                <w:color w:val="auto"/>
              </w:rPr>
            </w:pPr>
            <w:r>
              <w:rPr>
                <w:rFonts w:ascii="Arial" w:cs="Arial" w:eastAsia="Arial" w:hAnsi="Arial"/>
                <w:sz w:val="14"/>
                <w:szCs w:val="14"/>
                <w:color w:val="auto"/>
              </w:rPr>
              <w:t>22,917</w:t>
            </w:r>
            <w:r>
              <w:rPr>
                <w:rFonts w:ascii="Arial" w:cs="Arial" w:eastAsia="Arial" w:hAnsi="Arial"/>
                <w:sz w:val="24"/>
                <w:szCs w:val="24"/>
                <w:color w:val="auto"/>
                <w:vertAlign w:val="superscript"/>
              </w:rPr>
              <w:t>(5)</w:t>
            </w:r>
          </w:p>
        </w:tc>
        <w:tc>
          <w:tcPr>
            <w:tcW w:w="8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3.06</w:t>
            </w:r>
          </w:p>
        </w:tc>
        <w:tc>
          <w:tcPr>
            <w:tcW w:w="920" w:type="dxa"/>
            <w:vAlign w:val="bottom"/>
            <w:shd w:val="clear" w:color="auto" w:fill="DDDDDD"/>
          </w:tcPr>
          <w:p>
            <w:pPr>
              <w:ind w:left="160"/>
              <w:spacing w:after="0"/>
              <w:rPr>
                <w:sz w:val="20"/>
                <w:szCs w:val="20"/>
                <w:color w:val="auto"/>
              </w:rPr>
            </w:pPr>
            <w:r>
              <w:rPr>
                <w:rFonts w:ascii="Arial" w:cs="Arial" w:eastAsia="Arial" w:hAnsi="Arial"/>
                <w:sz w:val="14"/>
                <w:szCs w:val="14"/>
                <w:color w:val="auto"/>
              </w:rPr>
              <w:t>10/11/2028</w:t>
            </w:r>
          </w:p>
        </w:tc>
      </w:tr>
      <w:tr>
        <w:trPr>
          <w:trHeight w:val="162"/>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10/09/2019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33,333</w:t>
            </w:r>
          </w:p>
        </w:tc>
        <w:tc>
          <w:tcPr>
            <w:tcW w:w="1420" w:type="dxa"/>
            <w:vAlign w:val="bottom"/>
          </w:tcPr>
          <w:p>
            <w:pPr>
              <w:jc w:val="right"/>
              <w:ind w:right="71"/>
              <w:spacing w:after="0" w:line="162" w:lineRule="exact"/>
              <w:rPr>
                <w:sz w:val="20"/>
                <w:szCs w:val="20"/>
                <w:color w:val="auto"/>
              </w:rPr>
            </w:pPr>
            <w:r>
              <w:rPr>
                <w:rFonts w:ascii="Arial" w:cs="Arial" w:eastAsia="Arial" w:hAnsi="Arial"/>
                <w:sz w:val="11"/>
                <w:szCs w:val="11"/>
                <w:color w:val="auto"/>
              </w:rPr>
              <w:t>66,667</w:t>
            </w:r>
            <w:r>
              <w:rPr>
                <w:rFonts w:ascii="Arial" w:cs="Arial" w:eastAsia="Arial" w:hAnsi="Arial"/>
                <w:sz w:val="18"/>
                <w:szCs w:val="18"/>
                <w:color w:val="auto"/>
                <w:vertAlign w:val="superscript"/>
              </w:rPr>
              <w:t>(6)</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920" w:type="dxa"/>
            <w:vAlign w:val="bottom"/>
          </w:tcPr>
          <w:p>
            <w:pPr>
              <w:ind w:left="160"/>
              <w:spacing w:after="0"/>
              <w:rPr>
                <w:sz w:val="20"/>
                <w:szCs w:val="20"/>
                <w:color w:val="auto"/>
              </w:rPr>
            </w:pPr>
            <w:r>
              <w:rPr>
                <w:rFonts w:ascii="Arial" w:cs="Arial" w:eastAsia="Arial" w:hAnsi="Arial"/>
                <w:sz w:val="14"/>
                <w:szCs w:val="14"/>
                <w:color w:val="auto"/>
              </w:rPr>
              <w:t>10/09/2029</w:t>
            </w:r>
          </w:p>
        </w:tc>
      </w:tr>
      <w:tr>
        <w:trPr>
          <w:trHeight w:val="216"/>
        </w:trPr>
        <w:tc>
          <w:tcPr>
            <w:tcW w:w="380" w:type="dxa"/>
            <w:vAlign w:val="bottom"/>
            <w:shd w:val="clear" w:color="auto" w:fill="DDDDDD"/>
          </w:tcPr>
          <w:p>
            <w:pPr>
              <w:spacing w:after="0"/>
              <w:rPr>
                <w:sz w:val="18"/>
                <w:szCs w:val="18"/>
                <w:color w:val="auto"/>
              </w:rPr>
            </w:pPr>
          </w:p>
        </w:tc>
        <w:tc>
          <w:tcPr>
            <w:tcW w:w="5260" w:type="dxa"/>
            <w:vAlign w:val="bottom"/>
            <w:shd w:val="clear" w:color="auto" w:fill="DDDDDD"/>
          </w:tcPr>
          <w:p>
            <w:pPr>
              <w:spacing w:after="0"/>
              <w:rPr>
                <w:sz w:val="18"/>
                <w:szCs w:val="18"/>
                <w:color w:val="auto"/>
              </w:rPr>
            </w:pPr>
          </w:p>
        </w:tc>
        <w:tc>
          <w:tcPr>
            <w:tcW w:w="11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05/05/2020</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18,750</w:t>
            </w:r>
          </w:p>
        </w:tc>
        <w:tc>
          <w:tcPr>
            <w:tcW w:w="1420" w:type="dxa"/>
            <w:vAlign w:val="bottom"/>
            <w:shd w:val="clear" w:color="auto" w:fill="DDDDDD"/>
          </w:tcPr>
          <w:p>
            <w:pPr>
              <w:jc w:val="right"/>
              <w:ind w:right="71"/>
              <w:spacing w:after="0" w:line="216" w:lineRule="exact"/>
              <w:rPr>
                <w:sz w:val="20"/>
                <w:szCs w:val="20"/>
                <w:color w:val="auto"/>
              </w:rPr>
            </w:pPr>
            <w:r>
              <w:rPr>
                <w:rFonts w:ascii="Arial" w:cs="Arial" w:eastAsia="Arial" w:hAnsi="Arial"/>
                <w:sz w:val="14"/>
                <w:szCs w:val="14"/>
                <w:color w:val="auto"/>
              </w:rPr>
              <w:t>81,250</w:t>
            </w:r>
            <w:r>
              <w:rPr>
                <w:rFonts w:ascii="Arial" w:cs="Arial" w:eastAsia="Arial" w:hAnsi="Arial"/>
                <w:sz w:val="24"/>
                <w:szCs w:val="24"/>
                <w:color w:val="auto"/>
                <w:vertAlign w:val="superscript"/>
              </w:rPr>
              <w:t>(2)</w:t>
            </w:r>
          </w:p>
        </w:tc>
        <w:tc>
          <w:tcPr>
            <w:tcW w:w="8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rPr>
              <w:t>6.58</w:t>
            </w:r>
          </w:p>
        </w:tc>
        <w:tc>
          <w:tcPr>
            <w:tcW w:w="920" w:type="dxa"/>
            <w:vAlign w:val="bottom"/>
            <w:shd w:val="clear" w:color="auto" w:fill="DDDDDD"/>
          </w:tcPr>
          <w:p>
            <w:pPr>
              <w:ind w:left="160"/>
              <w:spacing w:after="0"/>
              <w:rPr>
                <w:sz w:val="20"/>
                <w:szCs w:val="20"/>
                <w:color w:val="auto"/>
              </w:rPr>
            </w:pPr>
            <w:r>
              <w:rPr>
                <w:rFonts w:ascii="Arial" w:cs="Arial" w:eastAsia="Arial" w:hAnsi="Arial"/>
                <w:sz w:val="14"/>
                <w:szCs w:val="14"/>
                <w:color w:val="auto"/>
              </w:rPr>
              <w:t>05/04/2030</w:t>
            </w:r>
          </w:p>
        </w:tc>
      </w:tr>
      <w:tr>
        <w:trPr>
          <w:trHeight w:val="313"/>
        </w:trPr>
        <w:tc>
          <w:tcPr>
            <w:tcW w:w="3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11/23/2020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6,250</w:t>
            </w:r>
          </w:p>
        </w:tc>
        <w:tc>
          <w:tcPr>
            <w:tcW w:w="1420" w:type="dxa"/>
            <w:vAlign w:val="bottom"/>
          </w:tcPr>
          <w:p>
            <w:pPr>
              <w:jc w:val="right"/>
              <w:ind w:right="71"/>
              <w:spacing w:after="0"/>
              <w:rPr>
                <w:sz w:val="20"/>
                <w:szCs w:val="20"/>
                <w:color w:val="auto"/>
              </w:rPr>
            </w:pPr>
            <w:r>
              <w:rPr>
                <w:rFonts w:ascii="Arial" w:cs="Arial" w:eastAsia="Arial" w:hAnsi="Arial"/>
                <w:sz w:val="14"/>
                <w:szCs w:val="14"/>
                <w:color w:val="auto"/>
              </w:rPr>
              <w:t>93,750</w:t>
            </w:r>
            <w:r>
              <w:rPr>
                <w:rFonts w:ascii="Arial" w:cs="Arial" w:eastAsia="Arial" w:hAnsi="Arial"/>
                <w:sz w:val="24"/>
                <w:szCs w:val="24"/>
                <w:color w:val="auto"/>
                <w:vertAlign w:val="superscript"/>
              </w:rPr>
              <w:t>(7)</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11.13</w:t>
            </w:r>
          </w:p>
        </w:tc>
        <w:tc>
          <w:tcPr>
            <w:tcW w:w="920" w:type="dxa"/>
            <w:vAlign w:val="bottom"/>
          </w:tcPr>
          <w:p>
            <w:pPr>
              <w:ind w:left="160"/>
              <w:spacing w:after="0"/>
              <w:rPr>
                <w:sz w:val="20"/>
                <w:szCs w:val="20"/>
                <w:color w:val="auto"/>
              </w:rPr>
            </w:pPr>
            <w:r>
              <w:rPr>
                <w:rFonts w:ascii="Arial" w:cs="Arial" w:eastAsia="Arial" w:hAnsi="Arial"/>
                <w:sz w:val="14"/>
                <w:szCs w:val="14"/>
                <w:color w:val="auto"/>
              </w:rPr>
              <w:t>11/22/2030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March 4, 2019, subject to continued service.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April 1, 2020, subject to continued service.</w:t>
      </w:r>
    </w:p>
    <w:p>
      <w:pPr>
        <w:spacing w:after="0" w:line="68" w:lineRule="exact"/>
        <w:rPr>
          <w:rFonts w:ascii="Arial" w:cs="Arial" w:eastAsia="Arial" w:hAnsi="Arial"/>
          <w:sz w:val="14"/>
          <w:szCs w:val="14"/>
          <w:color w:val="auto"/>
        </w:rPr>
      </w:pPr>
    </w:p>
    <w:p>
      <w:pPr>
        <w:ind w:left="540" w:right="180" w:hanging="424"/>
        <w:spacing w:after="0" w:line="258"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underlying this option vest as follows: (i) 350,000 shares vest upon the achievement of certain performance objectives and (ii) 750,000 shares vest as to one-fourth of the shares on November 2, 2021 and the remaining shares vest monthly thereafter, subject to continued service.</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vested on June 18, 2019 and the remaining shares vest monthly thereafter, subject to continued service.</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vested on October 12, 2019 and the remaining shares vest monthly thereafter, subject to continued service.</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September 1, 2019, subject to continued service.</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October 1, 2020, subject to continued service.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arrangements with our named executive officers</w:t>
      </w:r>
    </w:p>
    <w:p>
      <w:pPr>
        <w:spacing w:after="0" w:line="130"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have entered into an employment offer letter agreement with each of our named executive officers in connection with his employment with us. These offer letters provide for “at will” employment.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Gregg Coccari</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entered into an employment offer letter agreement with Mr. Coccari, our Chief Executive Officer, in February 2019. The offer letter has no specific term and provides for at-will employment. Mr. Coccari’s offer letter provides for an annual base salary, eligibility to receive an annual target bonus, and eligibility to participate in our employee benefit plans in effect from time to time. Mr. Coccari’s current annual base salary is $500,000, and Mr. Coccari’s annual target bonus is 50% of his annual base salary.</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Mr. Coccari’s offer letter, he was eligible to receive reimbursements from us for housing costs in an amount not to exceed</w:t>
      </w:r>
    </w:p>
    <w:p>
      <w:pPr>
        <w:ind w:left="120" w:right="240"/>
        <w:spacing w:after="0"/>
        <w:rPr>
          <w:sz w:val="20"/>
          <w:szCs w:val="20"/>
          <w:color w:val="auto"/>
        </w:rPr>
      </w:pPr>
      <w:r>
        <w:rPr>
          <w:rFonts w:ascii="Arial" w:cs="Arial" w:eastAsia="Arial" w:hAnsi="Arial"/>
          <w:sz w:val="18"/>
          <w:szCs w:val="18"/>
          <w:color w:val="auto"/>
        </w:rPr>
        <w:t>$7,500 per month and personal travel costs, plus an additional amount necessary to make such payments tax neutral to Mr. Coccari, for up to one year following Mr. Coccari’s start date. Mr. Coccari’s housing and personal travel cost reimbursement arrangement was extended indefinitely in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Greg Brown</w:t>
      </w:r>
    </w:p>
    <w:p>
      <w:pPr>
        <w:spacing w:after="0" w:line="126"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We entered into an employment offer letter agreement with Mr. Brown, our President, Udemy Business, in October 2020. The offer letter has no specific term and provides for at-will employment. Mr. Brown’s offer letter provides for an annual base salary, eligibility to receive an annual target bonus, and eligibility to participate in our employee benefit plans in effect from time to time. Mr. Brown’s current annual base salary is $500,000, and Mr. Brown’s annual target bonus is 75% of his annual base salary.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Llibert Argerich</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entered into an employment offer letter agreement with Mr. Argerich, our Senior Vice President, Marketing, in April 2018. The offer letter has no specific term and provides for at-will employment. Mr. Argerich’s offer letter provides for an annual base salary, eligibility to receive an annual target bonus, and eligibility to participate in our employee benefit plans in effect from time to time. Mr. Argerich’s current annual base salary is $344,000, and Mr. Argerich’s annual target bonus is 50% of his annual base salary.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Prior to the effectiveness of the registration statement of which this prospectus forms a part, we intend to enter into a change in control and severance agreement with Messrs. Coccari, Brown and Argerich and certain other of our key employees, subject to the approval of our board of directors.</w:t>
      </w:r>
    </w:p>
    <w:p>
      <w:pPr>
        <w:spacing w:after="0" w:line="20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Each named executive officer’s change in control and severance agreement provides for a 3 year term, subject to automatic renewal on each three year anniversary of the agreement’s effective date for an additional 3 year term unless either party provides the other with written notice of nonrenewal at least 60 days prior to such automatic renewal.</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Pursuant to each named executive officer’s change in control and severance agreement, if, within the 3 month period prior to or the 12 month period following a “change in control” (as defined in the applicable agreement), we terminate the employment of the named executive officer without “cause” (excluding death or disability) or the named executive officer resigns for “good reason” (as such terms are defined in the applicable agreement), and within 60 days following such termination, the named executive officer executes a waiver and release of claims in our favor that becomes effective and irrevocable, the named executive officer will be entitled to receive (i) a lump sum payment equal to 12 months of the named executive officer’s then current annual base salary plus 100% of the named executive officer’s annual target bonus for the year of termination, (ii) reimbursement of premiums to maintain group health insurance continuation benefits pursuant to the Consolidated Omnibus Budget Reconciliation Act of 1985, or COBRA, for the named executive officer and the named executive officer’s respective eligible dependents for up to 12 months, (iii) vesting acceleration as to 100% of the then-unvested shares subject to each of the named executive officer’s then outstanding equity awards (and in the case of awards with performance vesting, unless the applicable award agreement governing such award provides otherwise, all performance goals and other vesting criteria will be deemed achieved at target levels of achievement), and (iv) with respect to Mr. Brown, the post-termination exercise period for each of his vested and outstanding stock options will extend to 1 year from the date of his termination of employment (not to exceed the expiration date of any such option).</w:t>
      </w:r>
    </w:p>
    <w:p>
      <w:pPr>
        <w:spacing w:after="0" w:line="21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Pursuant to each named executive officer’s change in control and severance agreement, if, outside of the 3 month period prior to or the 12 month period following a “change in control”, we terminate the employment of the named executive officer without cause (excluding death or disability) or the named executive officer resigns for good reason, and within 60 days following such termination, the named executive officer executes a waiver and release of claims in our favor that becomes effective and irrevocable, the named executive officer will be entitled to receive (i) (A) with respect to Mr. Coccari, a lump sum payment equal to 12 months of his then current annual base salary, (B) with respect to Mr. Brown, a lump sum payment equal to 12 months of his then current annual base salary plus an amount equal to the officer’s prorated annual target bonus for the year of termination, and (C) with respect to Mr. Argerich, a lump sum payment equal to 6 months of his then current annual base salary, (ii) reimbursement of premiums to maintain group health insurance continuation benefits pursuant to COBRA for the named executive officer and the named executive officer’s respective eligible dependents for up to 12 months, with respect to Messrs. Coccari and Brown, and 6 months, with respect to Mr. Argerich, and (iii) with respect to Mr. Brown, (A) the post-termination exercise period for each of his vested and outstanding stock options will extend to 1 year from the date of his termination of employment (not to exceed the expiration date of any such option), and (B) if the qualifying termination occurs prior to the first anniversary of his commencement of employment with us, a number of the then unvested and outstanding shares subject to Mr. Brown’s original stock option grant subject to time-based vesting will accelerate and fully vest, with such number equal to the product of (x) 25% of the shares originally subject to such option and (b) the quotient of the number of days between the date of the commencement of his employment with us and the date of his termination of employment divided by 365, rounded up to the nearest whole share.</w:t>
      </w:r>
    </w:p>
    <w:p>
      <w:pPr>
        <w:spacing w:after="0" w:line="2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Pursuant to each named executive officer’s change in control and severance agreement, in the event any payment to a named executive officer would be subject to the excise tax imposed by Section 4999 of the Internal Revenue Code, as amended, or the Code (as a result of a payment being classified as a parachute payment under Section 280G of the Code), the officer will receive such payment as would entitle the named executive officer to receive the greatest after-tax benefit, even if it means that we pay the named executive officer a lower aggregate payment so as to minimize or eliminate the potential excise tax imposed by Section 4999 of the Code.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 benefit and stock plans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26"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Our board of directors has adopted, and our stockholders have approved, our 2021 Plan, which became effective on the business day immediately prior to the effective date of the registration statement of which this prospectus forms a part. Our 2021 Plan provides for the grant of incentive stock options, within the meaning of Section 422 of</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the Code, to our employees and any parent and subsidiary corporations’ employees, and for the grant of nonstatutory stock options, stock appreciation rights, restricted stock, restricted stock units, or RSUs, and performance awards to our employees, directors, eligible platform workers and consultants and our parent and subsidiary corporations’ employees, eligible platform workers and consultants. Our 2010 Plan terminated one business day prior to effectiveness of our 2021 Plan with respect to the grant of future awards.</w:t>
      </w:r>
    </w:p>
    <w:p>
      <w:pPr>
        <w:spacing w:after="0" w:line="18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the adjustment provisions of and the automatic increase described in our 2021 Plan, a total of 13,800,000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are reserved for issuance pursuant to our 2021 Plan. In addition, subject to the adjustment provisions of our 2021 Plan, the shares reserved for issuance under our 2021 Plan also include any shares subject to awards granted under our 2010 Plan that, on or after the effective date of the registration statement of which this prospectus forms a part, expire or otherwise terminate without having been exercised or issued in full, are tendered to or withheld by us for payment of an exercise price or for satisfying tax withholding obligations, or are forfeited to or repurchased by us due to failure to vest (provided that the maximum number of shares that may be added to our 2021 Plan pursuant to outstanding awards under our 2010 Plan is 22,000,000 shares). Subject to the adjustment provisions of our 2021 Plan, the number of shares available for issuance under our 2021 Plan also includes an annual increase on the first day of each fiscal year beginning on January 1, 2023 and ending on (and including) January 1, 2031, in an amount equal to (i) five percent (5%) of the outstanding shares on the last day of the immediately preceding calendar year or (B) such lesser amount (including zero) that the administrator determines for purposes of the annual increase for that year. Notwithstanding the foregoing, the number of shares that may be delivered in the aggregate pursuant to the exercise of incentive stock options granted under the 2021 Plan shall not exceed five times the initial number of shares reserved under the 2021 Plan plus, to the extent allowable under Section 422 of the Code, any shares that become available for issuance under the 2021 Plan pursuant to the following paragraph.</w:t>
      </w:r>
    </w:p>
    <w:p>
      <w:pPr>
        <w:spacing w:after="0" w:line="20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If a stock option or stock appreciation right granted under our 2021 Plan expires or becomes unexercisable without having been exercised in full or is surrendered pursuant to an exchange program or, with respect to restricted stock, RSUs or stock settled performance awards, is forfeited to, or repurchased by, us due to failure to vest, then the unpurchased shares (or for awards other than stock options or stock appreciation rights, the forfeited or repurchased shares) which were subject thereto will become available for future grant or sale under our 2021 Plan (unless our 2021 Plan has terminated). With respect to stock appreciation rights, only the net shares actually issued will cease to be available under our 2021 Plan and all remaining shares under stock appreciation rights will remain available for future grant or sale under our 2021 Plan (unless our 2021 Plan has terminated). Shares that have actually been issued under our 2021 Plan under any award will not be returned to our 2021 Plan; provided, however, that if shares issued pursuant to awards of restricted stock, RSUs or performance awards are repurchased or forfeited to us due to failure to vest, such shares will become available for future grant under our 2021 Plan. Shares used to pay the exercise price of an award or to satisfy the tax withholding obligations related to an award will become available for future grant or sale under our 2021 Plan. To the extent an award is paid out in cash rather than shares, the cash payment will not result in a reduction in the number of shares available for issuance under our 2021 Plan.</w:t>
      </w:r>
    </w:p>
    <w:p>
      <w:pPr>
        <w:spacing w:after="0" w:line="18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administers our 2021 Plan and may further delegate authority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subcommittees or officers to the extent such delegation complies with applicable laws. Subject to the provisions of our 2021 Plan, the administrator has the power to administer our 2021 Plan and make all determinations deemed necessary or advisable for administering our 2021 Plan, including but not limited to: the power to determine the fair market value of our common stock; select the service providers to whom awards may be granted; determine the number of shares covered by each award; approve forms of award agreements for use under our 2021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2021 Plan and awards granted under it, including but not limited to determining whether and when a change in control has occurred; establish, amend, and rescind rules and regulations relating to our</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2021 Plan, and adopt sub-plans relating to our 2021 Plan; interpret, modify or amend each award, including but not limited to the discretionary authority to extend the post-termination exercisability period of awards; allow participants to satisfy tax withholding obligations in any manner permitted by our 2021 Plan; delegate ministerial duties to any of our employees; authorize any person to take any steps and execute, on our behalf, any documents required for an award previously granted by the administrator to be effective; temporarily suspend the exercisability of an award if the administrator deems such suspension to be necessary or appropriate for administrative purposes, provided that, unless prohibited by applicable laws, such suspension shall be lifted in all cases not less than 10 trading days before the last date that the award may be exercised; allow a participant to defer the receipt of payment of cash or the delivery of shares that would otherwise be due to such participant under an award; and make any determinations necessary or appropriate under the adjustment provisions of our 2021 Plan.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will be final and binding on all participants to the full extent permitted by law.</w:t>
      </w:r>
    </w:p>
    <w:p>
      <w:pPr>
        <w:spacing w:after="0" w:line="19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Our 2021 Plan permits the grant of options. The exercise price of options granted under our 2021 Plan must be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our common stock on the date of grant, except that options may be granted with a lower exercise price to a service provider who is not a U.S. taxpayer, or pursuant to certain transactions. The term of an option is determined by the administrator, provided that the term of an incentive stock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determines the methods of payment of the exercise price of an option, which may include cash, check or wire transfer, cashless exercise, net exercise, promissory note, shares, or other consideration or method of payment acceptable to the administrator, to the extent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six months. In all other cases, in the absence of a specified time in an award, the option will remain exercisable for thirty days. These exercise periods may be tolled in certain circumstances, for example if exercise prior to the end of the applicable period is not permitted because of applicable laws. However, in no event may an option be exercised later than the expiration of its term.</w:t>
      </w:r>
    </w:p>
    <w:p>
      <w:pPr>
        <w:spacing w:after="0" w:line="18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Our 2021 Plan permits the grant of stock appreciation rights. Stock appreciation rights allow the recipient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appreciation in the fair market value of our common stock between the exercise date and the date of grant. The term of stock appreciation rights is determined by the administrator. After the termination of service of an employee, director, or consultant, they may exercise their stock appreciation right for the period of time stated in their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thirty days following the termination of service. These exercise periods may be tolled in certain circumstances, for example if exercise prior to the end of the applicable period is not permitted because of applicable laws.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must be no less than 100% of the fair market value per share on the date of grant.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Our 2021 Plan permits the grant of restricted stock. Restricted stock awards are grants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vest in accordance with terms and conditions established by the administrator. The administrator determines the number of shares of restricted stock granted to any employee, director, or consultant and, subject to the provisions of our 2021 Plan, determines the terms and conditions of such awards. The administrator has the authority to impose whatever conditions to vesting it determines to be appropriate (for example, the administrator will be able to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19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Our 2021 Plan permits the grant of RSUs. Each RSU will represent an amount equal to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one share of our common stock. Subject to the provisions of our 2021 Plan, the administrator determines the terms and conditions of RSUs, including the vesting criteria and the form and timing of payment. The administrator has the authority to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RSUs in the form of cash, in shares, or in some combination of both. Notwithstanding the foregoing, the administrator, in its sole discretion, may accelerate the vesting, or reduce or waive the criteria that must be met for vesting, of the RSUs or the time at which any restrictions will lapse or be removed.</w:t>
      </w:r>
    </w:p>
    <w:p>
      <w:pPr>
        <w:spacing w:after="0" w:line="18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2021 Plan permits the grant of performance awards. Performance awards are awards that will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a participant only if performance goals established by the administrator are achieved or the awards otherwise vest. The administrator may establish performance objectives or other vesting criteria in its discretion, which, depending on the extent to which they are met, will determine the number and/or the value of performance awards to be paid out to participants. The administrator has the authority to set performance objectives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criteria or other vesting provisions for such performance award. The administrator, in its sole discretion, may pay earned performance awards in the form of cash, in shares, or in some combination thereof.</w:t>
      </w:r>
    </w:p>
    <w:p>
      <w:pPr>
        <w:spacing w:after="0" w:line="188" w:lineRule="exact"/>
        <w:rPr>
          <w:sz w:val="20"/>
          <w:szCs w:val="20"/>
          <w:color w:val="auto"/>
        </w:rPr>
      </w:pPr>
    </w:p>
    <w:p>
      <w:pPr>
        <w:ind w:left="120" w:right="80"/>
        <w:spacing w:after="0"/>
        <w:rPr>
          <w:sz w:val="20"/>
          <w:szCs w:val="20"/>
          <w:color w:val="auto"/>
        </w:rPr>
      </w:pPr>
      <w:r>
        <w:rPr>
          <w:rFonts w:ascii="Arial" w:cs="Arial" w:eastAsia="Arial" w:hAnsi="Arial"/>
          <w:sz w:val="18"/>
          <w:szCs w:val="18"/>
          <w:i w:val="1"/>
          <w:iCs w:val="1"/>
          <w:color w:val="auto"/>
        </w:rPr>
        <w:t>Non-employee directors</w:t>
      </w:r>
      <w:r>
        <w:rPr>
          <w:rFonts w:ascii="Arial" w:cs="Arial" w:eastAsia="Arial" w:hAnsi="Arial"/>
          <w:sz w:val="18"/>
          <w:szCs w:val="18"/>
          <w:color w:val="auto"/>
        </w:rPr>
        <w:t>. Our 2021 Plan provides that all outside (non-employee) directors will be eligible to receive all types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incentive stock options) under our 2021 Plan. In order to provide a maximum limit on the awards that can be made to our non-employee directors, our 2021 Plan provides that in any given fiscal year, a non-employee director will not be granted awards having a grant-date fair value greater than $750,000, but this limit is increased to $ 1,500,000 in connection with his, her, or their initially joining our board of directors (in each case, excluding awards granted to him, her, or them as a consultant or employee). The grant-date fair values will be determined according to GAAP. The maximum limits do not reflect the intended size of any potential grants or a commitment to make grants to our outside directors under our 2021 Plan in the future.</w:t>
      </w:r>
    </w:p>
    <w:p>
      <w:pPr>
        <w:spacing w:after="0" w:line="185" w:lineRule="exact"/>
        <w:rPr>
          <w:sz w:val="20"/>
          <w:szCs w:val="20"/>
          <w:color w:val="auto"/>
        </w:rPr>
      </w:pPr>
    </w:p>
    <w:p>
      <w:pPr>
        <w:jc w:val="both"/>
        <w:ind w:left="120" w:right="380"/>
        <w:spacing w:after="0" w:line="250"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2021 Plan generally does not allow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only the recipient of an award may exercise an award during his, her, or their lifetime. If the administrator makes an award transferrable, such award will contain such additional terms and conditions as the administrator deems appropriate.</w:t>
      </w:r>
    </w:p>
    <w:p>
      <w:pPr>
        <w:spacing w:after="0" w:line="177"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any extraordinary dividend or other extraordinary distribution (whether in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reclassification, repurchase, or exchange of shares of our common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stock or other of our securities, other change in our corporate structure affecting the shares, or any similar equity restructuring transaction affecting our shares occurs (including a change in control), the administrator, to prevent diminution or enlargement of the benefits or potential benefits intended to be provided under our 2021 Plan, will adjust the number and class of shares that may be delivered under our 2021 Plan and/or the number, class, and price of shares covered by each outstanding award, and the numerical share limits set forth in our 2021 Plan. The conversion of any of our convertible securities and ordinary course repurchases of our shares or other securities will not be treated as an event that will require adjustment under our 2021 Plan.</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and, to the extent not exercised, all awards will terminate immediately prior to the consummation of such proposed transaction.</w:t>
      </w:r>
    </w:p>
    <w:p>
      <w:pPr>
        <w:spacing w:after="0" w:line="139"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2021 Plan provides that in the event of a merger or change in control, as defined under our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outstanding award will be treated as the administrator determines, without a requirement to obtain a participant’s consent, including, without limitation, that such award will be continued by the successor corporation or a parent or subsidiary of the successor corporation.</w:t>
      </w:r>
    </w:p>
    <w:p>
      <w:pPr>
        <w:spacing w:after="0" w:line="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An award generally will be considered continued if, following the transaction, (i) the award gives the right to purchase or receive the consideration received in the transaction by holders of our shares or (ii) the award is terminated in exchange for an amount of cash and/or property, if any, equal to the amount that would have been received upon the exercise or realization of the award at the closing of the transaction, which payment may be subject to any escrow applicable to holders of our common stock in connection with the transaction or subjected to the award’s original vesting schedule. The administrator will not be required to treat all awards or portions thereof the vested and unvested portions of an award, or all participants similarly.</w:t>
      </w:r>
    </w:p>
    <w:p>
      <w:pPr>
        <w:spacing w:after="0" w:line="205"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the event that a successor corporation or its parent or subsidiary does not continue an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continued,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20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With respect to awards granted to an outside director, in the event of a change in control, all of his, her, or their options and stock appreciation rights, if any, will vest fully and become immediately exercisable, all restrictions on his, her, or their restricted stock and RSUs will lapse, and all performance goals or other vesting requirements for his or her performance awards will be deemed achieved at 100% of target levels, and all other terms and conditions met.</w:t>
      </w:r>
    </w:p>
    <w:p>
      <w:pPr>
        <w:spacing w:after="0" w:line="187" w:lineRule="exact"/>
        <w:rPr>
          <w:sz w:val="20"/>
          <w:szCs w:val="20"/>
          <w:color w:val="auto"/>
        </w:rPr>
      </w:pPr>
    </w:p>
    <w:p>
      <w:pPr>
        <w:jc w:val="both"/>
        <w:ind w:left="120" w:right="40"/>
        <w:spacing w:after="0" w:line="245"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that we are required to adopt pursuant to the listing standards of any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or association on which our stock is listed or as otherwise required by applicable laws, and the administrator will also be able to specify in an award agreement that the participant’s rights, payments, and/or benefits with respect to an award will be subject to reduction, cancellation, forfeiture, and/or recoupment upon the occurrence of certain specified events.</w:t>
      </w:r>
    </w:p>
    <w:p>
      <w:pPr>
        <w:spacing w:after="0" w:line="181"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2021 Plan, provided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obtain stockholder approval of any amendment to the extent necessary or desirable to comply with applicable laws. However, no amendment, alteration, suspension or termination of our 2021 Plan or an Award under it may, taken as a whole, materially impair the existing rights of any participant without the participant’s consent. Our 2021 Plan will continue in effect until it is terminated, provided that incentive stock options may not be granted after the ten year anniversary of the date our board of directors approved our 2021</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Plan, and the automatic annual share increase will end on the ten year anniversary of the date our board of directors approved our 2021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26"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Our board of directors has adopted, and our stockholders have approved, our 2021 ESPP, which became effective on the business day immediately prior to the effective date of the registration statement of which this prospectus forms a part. However, no offering period or purchase period under our 2021 ESPP will begin unless and until otherwise determined by our board of directors.</w:t>
      </w:r>
    </w:p>
    <w:p>
      <w:pPr>
        <w:spacing w:after="0" w:line="185"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2,800,000 shares of our common stock are available for sale under our 2021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that will be available for sale under our 2021 ESPP also includes an annual increase on the first day of each fiscal year beginning with the 2023 fiscal year, equal to the least of:</w:t>
      </w:r>
    </w:p>
    <w:p>
      <w:pPr>
        <w:spacing w:after="0" w:line="100" w:lineRule="exact"/>
        <w:rPr>
          <w:sz w:val="20"/>
          <w:szCs w:val="20"/>
          <w:color w:val="auto"/>
        </w:rPr>
      </w:pPr>
    </w:p>
    <w:p>
      <w:pPr>
        <w:ind w:left="760" w:hanging="320"/>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 percent (1%) of the outstanding shares of our common stock as of the last day of the immediately preceding fiscal year;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three (3) times the initial number of shares reserved under the 2021 ESPP as set forth in the immediately preceding sentence; or</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lesser amount as the administrator may determine.</w:t>
      </w:r>
    </w:p>
    <w:p>
      <w:pPr>
        <w:spacing w:after="0" w:line="194" w:lineRule="exact"/>
        <w:rPr>
          <w:sz w:val="20"/>
          <w:szCs w:val="20"/>
          <w:color w:val="auto"/>
        </w:rPr>
      </w:pPr>
    </w:p>
    <w:p>
      <w:pPr>
        <w:ind w:left="120" w:right="60"/>
        <w:spacing w:after="0"/>
        <w:rPr>
          <w:sz w:val="20"/>
          <w:szCs w:val="20"/>
          <w:color w:val="auto"/>
        </w:rPr>
      </w:pPr>
      <w:r>
        <w:rPr>
          <w:rFonts w:ascii="Arial" w:cs="Arial" w:eastAsia="Arial" w:hAnsi="Arial"/>
          <w:sz w:val="18"/>
          <w:szCs w:val="18"/>
          <w:i w:val="1"/>
          <w:iCs w:val="1"/>
          <w:color w:val="auto"/>
        </w:rPr>
        <w:t>ESPP administration</w:t>
      </w:r>
      <w:r>
        <w:rPr>
          <w:rFonts w:ascii="Arial" w:cs="Arial" w:eastAsia="Arial" w:hAnsi="Arial"/>
          <w:sz w:val="18"/>
          <w:szCs w:val="18"/>
          <w:color w:val="auto"/>
        </w:rPr>
        <w:t>. Our compensation committee administers our 2021 ESPP and has full and exclusive discretionary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interpret, and apply the terms of our 2021 ESPP, delegate ministerial duties to any of our employees, designate separate offerings under our 2021 ESPP, designate our subsidiaries and affiliates as participating in our 2021 ESPP, determine eligibility, adjudicate all disputed claims filed under our 2021 ESPP, and establish procedures that it deems necessary for the administration of our 2021 ESPP, including, but not limited to, adopting such procedures and sub-plans as are necessary or appropriate to permit participation in our 2021 ESPP by employees who are foreign nationals or employed outside the United States. The administrator’s findings, decisions and determinations are final and binding on all participants to the full extent permitted by law.</w:t>
      </w:r>
    </w:p>
    <w:p>
      <w:pPr>
        <w:spacing w:after="0" w:line="185" w:lineRule="exact"/>
        <w:rPr>
          <w:sz w:val="20"/>
          <w:szCs w:val="20"/>
          <w:color w:val="auto"/>
        </w:rPr>
      </w:pPr>
    </w:p>
    <w:p>
      <w:pPr>
        <w:ind w:left="120" w:right="2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Generally, employees are eligible to participate if they are customarily employed by us, or any participating subsidiary or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her, or their last hire date,</w:t>
      </w:r>
    </w:p>
    <w:p>
      <w:pPr>
        <w:ind w:left="120" w:right="100" w:hanging="4"/>
        <w:spacing w:after="0" w:line="248" w:lineRule="auto"/>
        <w:tabs>
          <w:tab w:leader="none" w:pos="39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w:t>
      </w:r>
    </w:p>
    <w:p>
      <w:pPr>
        <w:spacing w:after="0" w:line="1" w:lineRule="exact"/>
        <w:rPr>
          <w:rFonts w:ascii="Arial" w:cs="Arial" w:eastAsia="Arial" w:hAnsi="Arial"/>
          <w:sz w:val="17"/>
          <w:szCs w:val="17"/>
          <w:color w:val="auto"/>
        </w:rPr>
      </w:pPr>
    </w:p>
    <w:p>
      <w:pPr>
        <w:ind w:left="120" w:right="960"/>
        <w:spacing w:after="0" w:line="246" w:lineRule="auto"/>
        <w:rPr>
          <w:rFonts w:ascii="Arial" w:cs="Arial" w:eastAsia="Arial" w:hAnsi="Arial"/>
          <w:sz w:val="17"/>
          <w:szCs w:val="17"/>
          <w:color w:val="auto"/>
        </w:rPr>
      </w:pPr>
      <w:r>
        <w:rPr>
          <w:rFonts w:ascii="Arial" w:cs="Arial" w:eastAsia="Arial" w:hAnsi="Arial"/>
          <w:sz w:val="18"/>
          <w:szCs w:val="18"/>
          <w:color w:val="auto"/>
        </w:rPr>
        <w:t>Section 414(q) of the Code with compensation above a certain level or is an officer or subject to disclosure requirements under Section 16(a) of the Exchange Act, is or is not eligible to participate in such offering period.</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an employee may not be granted rights to purchase shares of our common stock under our 2021 ESPP if such employee:</w:t>
      </w:r>
    </w:p>
    <w:p>
      <w:pPr>
        <w:spacing w:after="0" w:line="117" w:lineRule="exact"/>
        <w:rPr>
          <w:sz w:val="20"/>
          <w:szCs w:val="20"/>
          <w:color w:val="auto"/>
        </w:rPr>
      </w:pPr>
    </w:p>
    <w:p>
      <w:pPr>
        <w:jc w:val="both"/>
        <w:ind w:left="760" w:right="320" w:hanging="320"/>
        <w:spacing w:after="0" w:line="246" w:lineRule="auto"/>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and/or hold outstanding options to purchase such stock possessing 5% or more of the total combined voting power or value of all classes of capital stock of ours or of any parent or subsidiary of ours; or</w:t>
      </w:r>
    </w:p>
    <w:p>
      <w:pPr>
        <w:spacing w:after="0" w:line="102" w:lineRule="exact"/>
        <w:rPr>
          <w:rFonts w:ascii="Arial" w:cs="Arial" w:eastAsia="Arial" w:hAnsi="Arial"/>
          <w:sz w:val="18"/>
          <w:szCs w:val="18"/>
          <w:color w:val="auto"/>
        </w:rPr>
      </w:pPr>
    </w:p>
    <w:p>
      <w:pPr>
        <w:ind w:left="760" w:right="60" w:hanging="320"/>
        <w:spacing w:after="0"/>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Our 2021 ESPP includes a component that allows us to make offerings intended to qualify under Section 423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and a component that allows us to make offerings not intended to qualify under Section 423 of the Code to designated companies, as described in our 2021 ESPP. Our 2021 ESPP provides for overlapping 24-month offering periods generally comprised of four 6-month purchase periods. The offering periods will be scheduled to start on the first trading day on or after May 20 and November 20 of each year, except the first offering period will commence on the first trading day on or after the effective date of the registration statement of which this prospectus forms a part and will end on the first trading day on or before November 20, 2023, and the second offering period will commence on the first trading day on or after May 20, 2022.</w:t>
      </w:r>
    </w:p>
    <w:p>
      <w:pPr>
        <w:spacing w:after="0" w:line="185"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Our 2021 ESPP permits participants to purchase shares of our common stock through contributions (in the form of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or otherwise to the extent permitted by the administrator) of up to fifteen percent (15%) of their eligible compensation. A participant may purchase a maximum of 5,000 shares of our common stock during a purchase period.</w:t>
      </w:r>
    </w:p>
    <w:p>
      <w:pPr>
        <w:spacing w:after="0" w:line="177"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If our board of directors authorizes an offering and purchase period under our 2021 ESPP,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and accumulated by the participant during any offering period will be used to purchase shares of our common stock at the end of each purchase period. The purchase price of the shares will be eighty five percent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84" w:lineRule="exact"/>
        <w:rPr>
          <w:sz w:val="20"/>
          <w:szCs w:val="20"/>
          <w:color w:val="auto"/>
        </w:rPr>
      </w:pPr>
    </w:p>
    <w:p>
      <w:pPr>
        <w:ind w:left="120" w:right="580"/>
        <w:spacing w:after="0" w:line="26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rights granted under our 2021 ESPP (other than by will,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as otherwise provided under our 2021 ESPP).</w:t>
      </w:r>
    </w:p>
    <w:p>
      <w:pPr>
        <w:spacing w:after="0" w:line="160"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 xml:space="preserve">Merger or change in control. </w:t>
      </w:r>
      <w:r>
        <w:rPr>
          <w:rFonts w:ascii="Arial" w:cs="Arial" w:eastAsia="Arial" w:hAnsi="Arial"/>
          <w:sz w:val="18"/>
          <w:szCs w:val="18"/>
          <w:color w:val="auto"/>
        </w:rPr>
        <w:t>Our 2021 ESPP provides that in the event of a merger or change in control, as defined under our 2021</w:t>
      </w:r>
      <w:r>
        <w:rPr>
          <w:rFonts w:ascii="Arial" w:cs="Arial" w:eastAsia="Arial" w:hAnsi="Arial"/>
          <w:sz w:val="18"/>
          <w:szCs w:val="18"/>
          <w:i w:val="1"/>
          <w:iCs w:val="1"/>
          <w:color w:val="auto"/>
        </w:rPr>
        <w:t xml:space="preserve"> </w:t>
      </w:r>
      <w:r>
        <w:rPr>
          <w:rFonts w:ascii="Arial" w:cs="Arial" w:eastAsia="Arial" w:hAnsi="Arial"/>
          <w:sz w:val="18"/>
          <w:szCs w:val="18"/>
          <w:color w:val="auto"/>
        </w:rPr>
        <w:t>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84"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has the authority to suspend or terminate our 2021 ESPP and the administrator has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amend our 2021 ESPP, except that, subject to certain exceptions described in our 2021 ESPP, no such action may adversely affect any outstanding rights to purchase shares of our common stock under our 2021 ESPP. Our 2021 ESPP automatically will terminate in 2041, unless we terminate it sooner.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126"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2010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Our 2010 Plan was terminated as of one business day prior to the effectiveness of the registration statement of which this prospectus forms a part and we will not grant any additional awards under our 2010 Plan. However, our 2010 Plan will continue to govern the terms and conditions of the outstanding awards previously granted under our 2010 Plan.</w:t>
      </w:r>
    </w:p>
    <w:p>
      <w:pPr>
        <w:spacing w:after="0" w:line="205" w:lineRule="exact"/>
        <w:rPr>
          <w:sz w:val="20"/>
          <w:szCs w:val="20"/>
          <w:color w:val="auto"/>
        </w:rPr>
      </w:pPr>
    </w:p>
    <w:p>
      <w:pPr>
        <w:ind w:left="120" w:right="660"/>
        <w:spacing w:after="0" w:line="274" w:lineRule="auto"/>
        <w:rPr>
          <w:sz w:val="20"/>
          <w:szCs w:val="20"/>
          <w:color w:val="auto"/>
        </w:rPr>
      </w:pPr>
      <w:r>
        <w:rPr>
          <w:rFonts w:ascii="Arial" w:cs="Arial" w:eastAsia="Arial" w:hAnsi="Arial"/>
          <w:sz w:val="17"/>
          <w:szCs w:val="17"/>
          <w:color w:val="auto"/>
        </w:rPr>
        <w:t>As of June 30, 2021, stock options covering 20,173,022 shares of our common stock, and 103,663 stock appreciation rights were outstanding under our 2010 Plan. There were no restricted stock awards or restricted stock units outstanding under our 2010 Plan.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thereof appointed by our board of directors administers our 2010 Plan.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committees may administer our 2010 Plan with respect to different service providers. The administrator has all authority and discretion necessary or appropriate to administer our 2010 Plan and to control its operation, including the authority to construe and interpret the terms of our 2010 Plan and the awards granted under our 2010 Plan. The administrator’s decisions are final and binding on all participants and any other persons holding awards.</w:t>
      </w:r>
    </w:p>
    <w:p>
      <w:pPr>
        <w:spacing w:after="0" w:line="2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 relating to our 2010 Plan, to modify or amend each award and to make all other determinations deemed necessary or advisable for administering our 2010 Plan.</w:t>
      </w:r>
    </w:p>
    <w:p>
      <w:pPr>
        <w:spacing w:after="0" w:line="185"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including employees and consultants of any of our parent or subsidiary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Only our employees or employees of our parent or subsidiary companies are eligible to receive incentive stock options.</w:t>
      </w:r>
    </w:p>
    <w:p>
      <w:pPr>
        <w:spacing w:after="0" w:line="177" w:lineRule="exact"/>
        <w:rPr>
          <w:sz w:val="20"/>
          <w:szCs w:val="20"/>
          <w:color w:val="auto"/>
        </w:rPr>
      </w:pPr>
    </w:p>
    <w:p>
      <w:pPr>
        <w:ind w:left="120" w:right="380"/>
        <w:spacing w:after="0" w:line="296"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have been granted under our 2010 Plan. Subject to the provisions of our 2010 Plan,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term of an option, the number of shares subject to an option, and the time period in which an option may be exercised.</w:t>
      </w:r>
    </w:p>
    <w:p>
      <w:pPr>
        <w:spacing w:after="0" w:line="15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our 2010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208"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our 2010 Plan) terminates, that participant may exercise the vested portion of his, her, or their option for the period of time stated in the applicable award agreement. If a participant does not exercise his, her, or their option within the time specified in the award agreement, the option will terminate. Except as described above, the administrator has the discretion to determine the post-termination exercisability periods for an option.</w:t>
      </w:r>
    </w:p>
    <w:p>
      <w:pPr>
        <w:spacing w:after="0" w:line="184" w:lineRule="exact"/>
        <w:rPr>
          <w:sz w:val="20"/>
          <w:szCs w:val="20"/>
          <w:color w:val="auto"/>
        </w:rPr>
      </w:pPr>
    </w:p>
    <w:p>
      <w:pPr>
        <w:ind w:left="120" w:right="220"/>
        <w:spacing w:after="0" w:line="250"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transferred,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or otherwise alienated or hypothecated in any manner other than by will or by the laws of descent and distribution. In addition, during an applicable participant’s lifetime, only that participant may exercise their award.</w:t>
      </w:r>
    </w:p>
    <w:p>
      <w:pPr>
        <w:spacing w:after="0" w:line="177" w:lineRule="exact"/>
        <w:rPr>
          <w:sz w:val="20"/>
          <w:szCs w:val="20"/>
          <w:color w:val="auto"/>
        </w:rPr>
      </w:pPr>
    </w:p>
    <w:p>
      <w:pPr>
        <w:ind w:left="120" w:right="20"/>
        <w:spacing w:after="0" w:line="264"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If there is a dividend or other distribution (whether in the form of cash, shares, other securities,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2010 Plan or the number, class, and price 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shares covered by each outstanding award. The administrator’s determination regarding such adjustments will be final, binding and conclusive.</w:t>
      </w:r>
    </w:p>
    <w:p>
      <w:pPr>
        <w:spacing w:after="0" w:line="179"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 extent it has not been previously exercised, an award will terminate immediately prior to the consummation of such proposed action.</w:t>
      </w:r>
    </w:p>
    <w:p>
      <w:pPr>
        <w:spacing w:after="0" w:line="177"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i w:val="1"/>
          <w:iCs w:val="1"/>
          <w:color w:val="auto"/>
        </w:rPr>
        <w:t>Merger and change in control</w:t>
      </w:r>
      <w:r>
        <w:rPr>
          <w:rFonts w:ascii="Arial" w:cs="Arial" w:eastAsia="Arial" w:hAnsi="Arial"/>
          <w:sz w:val="17"/>
          <w:szCs w:val="17"/>
          <w:color w:val="auto"/>
        </w:rPr>
        <w:t>. In the event of our merger with or into another corporation or entity or a “change in control”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our 2010 Plan), each outstanding award will be treated as the administrator determines without a participant’s consent,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w:t>
      </w:r>
    </w:p>
    <w:p>
      <w:pPr>
        <w:ind w:left="120" w:hanging="4"/>
        <w:spacing w:after="0" w:line="236" w:lineRule="auto"/>
        <w:tabs>
          <w:tab w:leader="none" w:pos="3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189"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amend, alter, suspend, or terminate our 2010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necessary and desirable to comply with applicable laws, we will obtain stockholder approval of any amendment to our 2010 Plan. No amendment, alteration, suspension, or termination of our 2010 Plan will impair the rights of a participant, unless mutually agreed otherwise between the participant and the administrator in writing. As noted above, our 2010 Plan was terminated as of one business day prior to the effectiveness of the registration statement of which this prospectus forms a part and we will not grant any additional awards under our 2010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Incentive Compensation Plan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has approved our Employee Incentive Compensation Plan, or our Master Bonus Plan.</w:t>
      </w:r>
    </w:p>
    <w:p>
      <w:pPr>
        <w:spacing w:after="0" w:line="21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board of directors or a committee appointed by our board of directors will administer the Master Bonus Plan, provided that unless and until our board of directors determines otherwise, our compensation committee will administer the Master Bonus Plan. The Master Bonus Plan allows the administrator to provide awards to employees selected for participation, who may include our named executive officers, which awards may be based upon performance goals established by the administrator. The administrator, in its sole discretion, may establish a target award for each participant under the Master Bonus Plan, which may be expressed as a percentage of the participant’s average annual base salary for the applicable performance period, a fixed dollar amount, or such other amount or based on such other formula as the administrator determines to be appropriate.</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Under the Master Bonus Plan, the administrator determines the performance goals, if any, applicable to any target award (or portion thereof) for a performance period, which may include, without limitation, goals related to: bookings; capital raising; cash flow; cash position; contract awards or backlog; corporate transactions; customer penetration; customer net dollar retention or any other measure of customer retention; earnings (which may include any calculation of earnings including but not limited to earnings before interest and taxes, earnings before taxes, and earnings before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interest, taxes, depreciation, and amortization); earnings per share; expenses; expense reduction; financial milestones; gross margin; gross margin expansion; growth in stockholder value relative to an index; internal rate of return; leadership development or succession planning; logo retention; market share; net income; net profit; net sales; new product or business development; new product invention or innovation; number of enterprise or subscription customers; number of monthly average buyers; operating cash flow; operating expenses; operating income; operating margin; overhead or other expense reduction; patents; procurement; product defect measures; product release timelines; productivity; profit; retained earnings; return on assets; return on capital; return on equity; return on investment; revenue; revenue growth; sales results; sales growth; savings; segment performance (including, but not limited to, revenue and gross profit);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GAAP or non-GAAP results and any actual results may be adjusted by the administrator for one-time items or unbudgeted or unexpected items and/or payments of awards under the Master Bonus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our performance as a whole or a segment, and/or (f) on a pre-tax or after-tax basis. The performance goals may differ from participant to participant and from award to award. Failure to meet the applicable performance goals will result in a failure to earn the target award, subject to the administrator’s discretion to modify an award. The administrator also may determine that a target award (or portion thereof) will not have a performance goal associated with it but instead will be granted (if at all) as determined by the administrator.</w:t>
      </w:r>
    </w:p>
    <w:p>
      <w:pPr>
        <w:spacing w:after="0" w:line="212"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at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20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Actual awards under the Master Bonus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the administrator, to earn an actual award, a participant must be employed by us (or an affiliate of us, as applicable) through the date the bonus is paid. Payment of bonuses occurs as soon as administratively practicable after the end of the applicable performance period, but in no case after the later of (i) the 15th day of the third month of the fiscal year immediately following the fiscal year in which the bonuses vest and (ii) March 15 of the calendar year immediately following the calendar year in which the bonuses vest.</w:t>
      </w:r>
    </w:p>
    <w:p>
      <w:pPr>
        <w:spacing w:after="0" w:line="20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Awards under our Master Bonus Plan will be subject to reduction, cancellation, forfeiture, or recoupment in accordance with any clawback policy that we adopt pursuant to the listing standards of any national securities exchange or association on which our securities are listed or as is otherwise required by the Dodd-Frank Wall Street Reform and Consumer Protection Act or other applicable laws. In addition, the administrator may impose such other clawback, recovery, or recoupment provisions with respect to an award under the Master Bonus Plan as the administrator determines necessary or appropriate, including without limitation a reacquisition right in respect of previously acquired cash, stock, or other property provided with respect to an award.</w:t>
      </w:r>
    </w:p>
    <w:p>
      <w:pPr>
        <w:spacing w:after="0" w:line="205"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administrator will have the authority to amend or terminate the Master Bonus Plan. However, such action may not materially alter or materially impair the existing rights of any participant with respect to any earned bonus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without the participant’s consent. The Master Bonus Plan will remain in effect until terminated in accordance with the terms of the Master Bonus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remain</w:t>
      </w:r>
    </w:p>
    <w:p>
      <w:pPr>
        <w:ind w:left="120"/>
        <w:spacing w:after="0" w:line="234" w:lineRule="auto"/>
        <w:rPr>
          <w:sz w:val="20"/>
          <w:szCs w:val="20"/>
          <w:color w:val="auto"/>
        </w:rPr>
      </w:pPr>
      <w:r>
        <w:rPr>
          <w:rFonts w:ascii="Arial" w:cs="Arial" w:eastAsia="Arial" w:hAnsi="Arial"/>
          <w:sz w:val="18"/>
          <w:szCs w:val="18"/>
          <w:color w:val="auto"/>
        </w:rPr>
        <w:t>employed with us, and who satisfy certain eligibility requirements. Under the 401(k) plan, eligible employees may elect to defer a portion of</w:t>
      </w:r>
    </w:p>
    <w:p>
      <w:pPr>
        <w:ind w:left="120"/>
        <w:spacing w:after="0" w:line="235" w:lineRule="auto"/>
        <w:rPr>
          <w:sz w:val="20"/>
          <w:szCs w:val="20"/>
          <w:color w:val="auto"/>
        </w:rPr>
      </w:pPr>
      <w:r>
        <w:rPr>
          <w:rFonts w:ascii="Arial" w:cs="Arial" w:eastAsia="Arial" w:hAnsi="Arial"/>
          <w:sz w:val="18"/>
          <w:szCs w:val="18"/>
          <w:color w:val="auto"/>
        </w:rPr>
        <w:t>their compensation, within the limits prescribed by the Code, on a pre-tax or after-tax (Roth) basis, through contributions to the 401(k)</w:t>
      </w:r>
    </w:p>
    <w:p>
      <w:pPr>
        <w:ind w:left="120"/>
        <w:spacing w:after="0" w:line="235" w:lineRule="auto"/>
        <w:rPr>
          <w:sz w:val="20"/>
          <w:szCs w:val="20"/>
          <w:color w:val="auto"/>
        </w:rPr>
      </w:pPr>
      <w:r>
        <w:rPr>
          <w:rFonts w:ascii="Arial" w:cs="Arial" w:eastAsia="Arial" w:hAnsi="Arial"/>
          <w:sz w:val="18"/>
          <w:szCs w:val="18"/>
          <w:color w:val="auto"/>
        </w:rPr>
        <w:t>plan. The 401(k) plan authorizes employer safe harbor contributions. The 401(k) plan is intended to qualify under Sections 401(a) and</w:t>
      </w:r>
    </w:p>
    <w:p>
      <w:pPr>
        <w:ind w:left="120"/>
        <w:spacing w:after="0" w:line="235" w:lineRule="auto"/>
        <w:rPr>
          <w:sz w:val="20"/>
          <w:szCs w:val="20"/>
          <w:color w:val="auto"/>
        </w:rPr>
      </w:pPr>
      <w:r>
        <w:rPr>
          <w:rFonts w:ascii="Arial" w:cs="Arial" w:eastAsia="Arial" w:hAnsi="Arial"/>
          <w:sz w:val="18"/>
          <w:szCs w:val="18"/>
          <w:color w:val="auto"/>
        </w:rPr>
        <w:t>501(a) of the Code. As a tax-qualified retirement plan, pre-tax contributions to the 401(k) plan and earnings on those pre-tax contributions</w:t>
      </w:r>
    </w:p>
    <w:p>
      <w:pPr>
        <w:ind w:left="120"/>
        <w:spacing w:after="0" w:line="235" w:lineRule="auto"/>
        <w:rPr>
          <w:sz w:val="20"/>
          <w:szCs w:val="20"/>
          <w:color w:val="auto"/>
        </w:rPr>
      </w:pPr>
      <w:r>
        <w:rPr>
          <w:rFonts w:ascii="Arial" w:cs="Arial" w:eastAsia="Arial" w:hAnsi="Arial"/>
          <w:sz w:val="18"/>
          <w:szCs w:val="18"/>
          <w:color w:val="auto"/>
        </w:rPr>
        <w:t>are not taxable to the employees until distributed from the 401(k) plan, and earnings on Roth contributions are not taxable when</w:t>
      </w:r>
    </w:p>
    <w:p>
      <w:pPr>
        <w:ind w:left="120"/>
        <w:spacing w:after="0" w:line="234" w:lineRule="auto"/>
        <w:rPr>
          <w:sz w:val="20"/>
          <w:szCs w:val="20"/>
          <w:color w:val="auto"/>
        </w:rPr>
      </w:pPr>
      <w:r>
        <w:rPr>
          <w:rFonts w:ascii="Arial" w:cs="Arial" w:eastAsia="Arial" w:hAnsi="Arial"/>
          <w:sz w:val="18"/>
          <w:szCs w:val="18"/>
          <w:color w:val="auto"/>
        </w:rPr>
        <w:t>distributed from the 401(k) plan. We match 25% of an employee’s contribution up to 6% of the employee’s compensation, with a cap of</w:t>
      </w:r>
    </w:p>
    <w:p>
      <w:pPr>
        <w:ind w:left="120"/>
        <w:spacing w:after="0" w:line="235" w:lineRule="auto"/>
        <w:rPr>
          <w:sz w:val="20"/>
          <w:szCs w:val="20"/>
          <w:color w:val="auto"/>
        </w:rPr>
      </w:pPr>
      <w:r>
        <w:rPr>
          <w:rFonts w:ascii="Arial" w:cs="Arial" w:eastAsia="Arial" w:hAnsi="Arial"/>
          <w:sz w:val="18"/>
          <w:szCs w:val="18"/>
          <w:color w:val="auto"/>
        </w:rPr>
        <w:t>$500 annually, subject to a two-year graded vesting schedule that vests 50% after an employee’s first year of employment and 100% after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two years of employment.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110" w:lineRule="exact"/>
        <w:rPr>
          <w:sz w:val="20"/>
          <w:szCs w:val="20"/>
          <w:color w:val="auto"/>
        </w:rPr>
      </w:pPr>
    </w:p>
    <w:p>
      <w:pPr>
        <w:ind w:left="760" w:hanging="320"/>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2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Certain relationships and related party transactions</w:t>
      </w:r>
    </w:p>
    <w:p>
      <w:pPr>
        <w:spacing w:after="0" w:line="14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“Management” and “Executive compensation” and the registration rights described in “Description of capital stock—Registration rights,” the following is a description of each transaction since January 1, 2018 and each currently proposed transaction in which:</w:t>
      </w:r>
    </w:p>
    <w:p>
      <w:pPr>
        <w:spacing w:after="0" w:line="110" w:lineRule="exact"/>
        <w:rPr>
          <w:sz w:val="20"/>
          <w:szCs w:val="20"/>
          <w:color w:val="auto"/>
        </w:rPr>
      </w:pPr>
    </w:p>
    <w:p>
      <w:pPr>
        <w:ind w:left="760" w:hanging="320"/>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17" w:lineRule="exact"/>
        <w:rPr>
          <w:rFonts w:ascii="Arial" w:cs="Arial" w:eastAsia="Arial" w:hAnsi="Arial"/>
          <w:sz w:val="18"/>
          <w:szCs w:val="18"/>
          <w:color w:val="auto"/>
        </w:rPr>
      </w:pPr>
    </w:p>
    <w:p>
      <w:pPr>
        <w:ind w:left="760" w:right="140" w:hanging="320"/>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agreement</w:t>
      </w:r>
    </w:p>
    <w:p>
      <w:pPr>
        <w:spacing w:after="0" w:line="130" w:lineRule="exact"/>
        <w:rPr>
          <w:sz w:val="20"/>
          <w:szCs w:val="20"/>
          <w:color w:val="auto"/>
        </w:rPr>
      </w:pPr>
    </w:p>
    <w:p>
      <w:pPr>
        <w:ind w:left="120" w:right="200"/>
        <w:spacing w:after="0" w:line="257"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Stripes III, LP, or Stripes; Norwest Venture Partners XII, LP, or Norwest; entities affiliated with Insight Partners, or Insight; entities affiliated with MHS Capital, or MHS; entities affiliated with MIH Edtech Investments B.V., or Naspers; and Eren Bali, a member of our board of directors and one of our co-founders. See “Description of capital stock—Registration rights” for additional information regarding these registration rights.</w:t>
      </w:r>
    </w:p>
    <w:p>
      <w:pPr>
        <w:spacing w:after="0" w:line="18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Kenneth Fox, a member of our board of directors, is the founder and a managing partner of Stripes. Parker Barrile, a former member of our board of directors, is a partner at Norwest. Jeffrey Lieberman, a member of our board of directors, is Managing Director at Insight. Lawrence Illg, a member of our board of directors, is Chief Executive Officer, Food and EdTech, of Prosus N.V., or Prosus, an affiliate of Naspers. Lydia Paterson, a member of our board of directors, is the Chief Financial Officer of OLX Global B.V., or OLX Group, an affiliate of Naspers.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Right of first refusal</w:t>
      </w:r>
    </w:p>
    <w:p>
      <w:pPr>
        <w:spacing w:after="0" w:line="13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Pursuant to our 2010 Plan and certain agreements with our stockholders, including a right of first refusal and co-sale agreement, as amended, with certain holders of our capital stock, including Stripes, Norwest, entities affiliated with Insight, entities affiliated with MHS, Naspers, and Eren Bali, we or our assignees have a right to purchase shares of our capital stock which stockholders propose to sell to other parties. This right will terminate upon the completion of this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agreement</w:t>
      </w:r>
    </w:p>
    <w:p>
      <w:pPr>
        <w:spacing w:after="0" w:line="130"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We are party to a voting agreement, as amended, with certain holders of our capital stock, including Stripes, Norwest, entities affiliated with Insight, entities affiliated with MHS, Naspers, and Mr. Bali. The parties to the voting agreement have agreed, subject to certain conditions, to vote the shares of our capital stock held by them so as to elect the following individuals as directors: (1) two individuals designated by the holders of a majority of our Series B preferred stock (on an as-converted basis), currently Mr. Lieberman and Mx. Hiles,</w:t>
      </w:r>
    </w:p>
    <w:p>
      <w:pPr>
        <w:spacing w:after="0" w:line="2" w:lineRule="exact"/>
        <w:rPr>
          <w:sz w:val="20"/>
          <w:szCs w:val="20"/>
          <w:color w:val="auto"/>
        </w:rPr>
      </w:pPr>
    </w:p>
    <w:p>
      <w:pPr>
        <w:ind w:left="120" w:right="120" w:hanging="4"/>
        <w:spacing w:after="0" w:line="236" w:lineRule="auto"/>
        <w:tabs>
          <w:tab w:leader="none" w:pos="3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one individual designated by Norwest, currently Mr. Barrile, (3) one individual designated by Stripes, currently Mr. Fox, (4) two individuals designated by the holders of a majority of the outstanding shares of our common stock, currently Gregg Coccari and Mr. Bali, provided that one such designee shall always be our then-serving Chief Executive Officer, (5) one individual designated by Naspers, currently Mr. Illg, and (6) one individual designated by the majority of the other members of our board of directors, currently Ms. Paterson.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“Executive compensation —Limitation of liability and indemnification” for additional information.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Tender offer</w:t>
      </w:r>
    </w:p>
    <w:p>
      <w:pPr>
        <w:spacing w:after="0" w:line="13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March 2020, we facilitated a third-party tender offer for the purchase of shares of our common stock from certain of our securityholders at a cash purchase price of $11.22 per share. Llibert Argerich and Cara Brennan Allamano, two of our executive officers, sold shares of our common stock in the tender offer. An aggregate of 891,265 shares of our common stock were tendered pursuant to the tender offer for an aggregate purchase price of $9.99 million.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transactions</w:t>
      </w:r>
    </w:p>
    <w:p>
      <w:pPr>
        <w:spacing w:after="0" w:line="130"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have entered into employment agreements with our executive officers. See “Executive compensation—Employment arrangements with our named executive officers” for a description of these agreements.</w:t>
      </w:r>
    </w:p>
    <w:p>
      <w:pPr>
        <w:spacing w:after="0" w:line="197"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have granted stock options to our executive officers and certain of our non-employee directors. See “Executive compensation” and “Management—Director compensation” for a description of these grants.</w:t>
      </w:r>
    </w:p>
    <w:p>
      <w:pPr>
        <w:spacing w:after="0" w:line="19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Ms. Paterson, a member of our board of directors, is Chief Financial Officer of OLX Group, an affiliate of Naspers, which is a customer of ours.</w:t>
      </w:r>
    </w:p>
    <w:p>
      <w:pPr>
        <w:spacing w:after="0" w:line="197"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Naspers is affiliated with OLX Group, where Ms. Paterson serves as Chief Financial Officer, and Prosus, where Mr. Illg serves as Chief Executive Officer, Food and EdTech. Naspers is a UB customer. During 2018, 2019, and 2020, we recorded approximately $0.5 million, $0.8 million, and $ 1.3 million, respectively, in revenue from subscription services provided to Naspers, representing less than 1% of our revenues for each such year, and during the six months ended June 30, 2021, we recorded approximately $0.6 million in revenue from services provided to Naspers, representing less than 1% of revenues for such period. We believe that Ms. Paterson’s and Mr. Illg’s interests in these transactions are de minimis.</w:t>
      </w:r>
    </w:p>
    <w:p>
      <w:pPr>
        <w:spacing w:after="0" w:line="205"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Insight, where Mr. Lieberman is Managing Director, is affiliated with Sift Science. We have contracted with Sift Science for certain technology and software solutions since 2020. During 2020, we recorded approximately $0.3 million in general and administrative expenses for these solutions, representing less than 1% of our general and administrative expenses for the year, and during the six months ended June 30, 2021, we recorded approximately $0.2 million in general and administrative expenses for these solutions, representing less than 1% of our general and administrative expenses for such period. We believe that the interest of Mr. Lieberman in these transactions is de minimis. We did not contract with Sift Science during 2018 or 2019.</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From February 2019 to November 2019, we were party to an arrangement with the Stripes Group pursuant to which we received services from Jeff Pedersen, an Operating Partner of the Stripes Group, as our interim Chief Financial Officer. The Stripes Group is affiliated with Stripes. During 2019, we recorded $0.3 million in general and administrative expenses for these services, representing less than 1% of our general and administrative expenses for the year. No related services were provided in 2018 or 2020.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Related party transaction policy</w:t>
      </w:r>
    </w:p>
    <w:p>
      <w:pPr>
        <w:spacing w:after="0" w:line="13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 party transactions,” which are transactions between us and related persons in which the aggregate amount involved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74" w:lineRule="auto"/>
        <w:rPr>
          <w:sz w:val="20"/>
          <w:szCs w:val="20"/>
          <w:color w:val="auto"/>
        </w:rPr>
      </w:pPr>
      <w:r>
        <w:rPr>
          <w:rFonts w:ascii="Arial" w:cs="Arial" w:eastAsia="Arial" w:hAnsi="Arial"/>
          <w:sz w:val="17"/>
          <w:szCs w:val="17"/>
          <w:color w:val="auto"/>
        </w:rPr>
        <w:t>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17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Prior to the effectiveness of the registration statement of which this prospectus forms a part, we intend to adopt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Principal stockholders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beneficial ownership of our common stock as of October 15, 2021 by:</w:t>
      </w:r>
    </w:p>
    <w:p>
      <w:pPr>
        <w:spacing w:after="0" w:line="117" w:lineRule="exact"/>
        <w:rPr>
          <w:sz w:val="20"/>
          <w:szCs w:val="20"/>
          <w:color w:val="auto"/>
        </w:rPr>
      </w:pPr>
    </w:p>
    <w:p>
      <w:pPr>
        <w:ind w:left="760" w:hanging="320"/>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1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 subject to community property laws where applicable. The information does not necessarily indicate beneficial ownership for any other purpose, including for purposes of Sections 13(d) and 13(g) of the Exchange Act.</w:t>
      </w:r>
    </w:p>
    <w:p>
      <w:pPr>
        <w:spacing w:after="0" w:line="2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based our calculation of the percentage of beneficial ownership prior to this offering on 123,488,197 shares of our common stock outstanding as of October 15, 2021, after giving effect to the automatic conversion of all outstanding shares of our redeemable convertible preferred stock into 85,403,933 shares of our common stock immediately prior to the completion of this offering. We have based our calculation of the percentage of beneficial ownership after this offering on 137,427,466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October 15,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207"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Udemy, Inc., 600 Harrison Street, 3rd Floor, San Francisco, California 94107.</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Number of Shares</w:t>
            </w:r>
          </w:p>
        </w:tc>
        <w:tc>
          <w:tcPr>
            <w:tcW w:w="1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300" w:type="dxa"/>
            <w:vAlign w:val="bottom"/>
            <w:tcBorders>
              <w:top w:val="single" w:sz="8" w:color="auto"/>
            </w:tcBorders>
          </w:tcPr>
          <w:p>
            <w:pPr>
              <w:jc w:val="right"/>
              <w:ind w:right="288"/>
              <w:spacing w:after="0" w:line="143" w:lineRule="exact"/>
              <w:rPr>
                <w:sz w:val="20"/>
                <w:szCs w:val="20"/>
                <w:color w:val="auto"/>
              </w:rPr>
            </w:pPr>
            <w:r>
              <w:rPr>
                <w:rFonts w:ascii="Arial" w:cs="Arial" w:eastAsia="Arial" w:hAnsi="Arial"/>
                <w:sz w:val="14"/>
                <w:szCs w:val="14"/>
                <w:b w:val="1"/>
                <w:bCs w:val="1"/>
                <w:color w:val="auto"/>
              </w:rPr>
              <w:t>Before the</w:t>
            </w:r>
          </w:p>
        </w:tc>
        <w:tc>
          <w:tcPr>
            <w:tcW w:w="980" w:type="dxa"/>
            <w:vAlign w:val="bottom"/>
            <w:tcBorders>
              <w:top w:val="single" w:sz="8" w:color="auto"/>
            </w:tcBorders>
          </w:tcPr>
          <w:p>
            <w:pPr>
              <w:ind w:left="180"/>
              <w:spacing w:after="0" w:line="143" w:lineRule="exact"/>
              <w:rPr>
                <w:sz w:val="20"/>
                <w:szCs w:val="20"/>
                <w:color w:val="auto"/>
              </w:rPr>
            </w:pPr>
            <w:r>
              <w:rPr>
                <w:rFonts w:ascii="Arial" w:cs="Arial" w:eastAsia="Arial" w:hAnsi="Arial"/>
                <w:sz w:val="14"/>
                <w:szCs w:val="14"/>
                <w:b w:val="1"/>
                <w:bCs w:val="1"/>
                <w:color w:val="auto"/>
              </w:rPr>
              <w:t>After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040" w:type="dxa"/>
            <w:vAlign w:val="bottom"/>
          </w:tcPr>
          <w:p>
            <w:pPr>
              <w:jc w:val="right"/>
              <w:ind w:right="368"/>
              <w:spacing w:after="0"/>
              <w:rPr>
                <w:sz w:val="20"/>
                <w:szCs w:val="20"/>
                <w:color w:val="auto"/>
              </w:rPr>
            </w:pPr>
            <w:r>
              <w:rPr>
                <w:rFonts w:ascii="Arial" w:cs="Arial" w:eastAsia="Arial" w:hAnsi="Arial"/>
                <w:sz w:val="14"/>
                <w:szCs w:val="14"/>
                <w:b w:val="1"/>
                <w:bCs w:val="1"/>
                <w:color w:val="auto"/>
              </w:rPr>
              <w:t>Beneficially Owned</w:t>
            </w:r>
          </w:p>
        </w:tc>
        <w:tc>
          <w:tcPr>
            <w:tcW w:w="1300" w:type="dxa"/>
            <w:vAlign w:val="bottom"/>
          </w:tcPr>
          <w:p>
            <w:pPr>
              <w:jc w:val="right"/>
              <w:ind w:right="348"/>
              <w:spacing w:after="0"/>
              <w:rPr>
                <w:sz w:val="20"/>
                <w:szCs w:val="20"/>
                <w:color w:val="auto"/>
              </w:rPr>
            </w:pPr>
            <w:r>
              <w:rPr>
                <w:rFonts w:ascii="Arial" w:cs="Arial" w:eastAsia="Arial" w:hAnsi="Arial"/>
                <w:sz w:val="14"/>
                <w:szCs w:val="14"/>
                <w:b w:val="1"/>
                <w:bCs w:val="1"/>
                <w:color w:val="auto"/>
              </w:rPr>
              <w:t>Offering</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2"/>
        </w:trPr>
        <w:tc>
          <w:tcPr>
            <w:tcW w:w="670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2040" w:type="dxa"/>
            <w:vAlign w:val="bottom"/>
            <w:tcBorders>
              <w:top w:val="single" w:sz="8" w:color="auto"/>
            </w:tcBorders>
            <w:shd w:val="clear" w:color="auto" w:fill="DDDDDD"/>
          </w:tcPr>
          <w:p>
            <w:pPr>
              <w:spacing w:after="0"/>
              <w:rPr>
                <w:sz w:val="17"/>
                <w:szCs w:val="17"/>
                <w:color w:val="auto"/>
              </w:rPr>
            </w:pPr>
          </w:p>
        </w:tc>
        <w:tc>
          <w:tcPr>
            <w:tcW w:w="130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Gregg Coccari</w:t>
            </w:r>
            <w:r>
              <w:rPr>
                <w:rFonts w:ascii="Arial" w:cs="Arial" w:eastAsia="Arial" w:hAnsi="Arial"/>
                <w:sz w:val="21"/>
                <w:szCs w:val="21"/>
                <w:color w:val="auto"/>
                <w:vertAlign w:val="superscript"/>
              </w:rPr>
              <w:t>(1)</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3,680,382</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rPr>
                <w:sz w:val="20"/>
                <w:szCs w:val="20"/>
                <w:color w:val="auto"/>
              </w:rPr>
            </w:pPr>
            <w:r>
              <w:rPr>
                <w:rFonts w:ascii="Arial" w:cs="Arial" w:eastAsia="Arial" w:hAnsi="Arial"/>
                <w:sz w:val="14"/>
                <w:szCs w:val="14"/>
                <w:color w:val="auto"/>
              </w:rPr>
              <w:t>Gregory Brown</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203,125</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Llibert Argerich</w:t>
            </w:r>
            <w:r>
              <w:rPr>
                <w:rFonts w:ascii="Arial" w:cs="Arial" w:eastAsia="Arial" w:hAnsi="Arial"/>
                <w:sz w:val="21"/>
                <w:szCs w:val="21"/>
                <w:color w:val="auto"/>
                <w:vertAlign w:val="superscript"/>
              </w:rPr>
              <w:t>(2)</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96,968</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line="216" w:lineRule="exact"/>
              <w:rPr>
                <w:sz w:val="20"/>
                <w:szCs w:val="20"/>
                <w:color w:val="auto"/>
              </w:rPr>
            </w:pPr>
            <w:r>
              <w:rPr>
                <w:rFonts w:ascii="Arial" w:cs="Arial" w:eastAsia="Arial" w:hAnsi="Arial"/>
                <w:sz w:val="14"/>
                <w:szCs w:val="14"/>
                <w:color w:val="auto"/>
              </w:rPr>
              <w:t>Eren Bali</w:t>
            </w:r>
            <w:r>
              <w:rPr>
                <w:rFonts w:ascii="Arial" w:cs="Arial" w:eastAsia="Arial" w:hAnsi="Arial"/>
                <w:sz w:val="24"/>
                <w:szCs w:val="24"/>
                <w:color w:val="auto"/>
                <w:vertAlign w:val="superscript"/>
              </w:rPr>
              <w:t>(3)</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1,841,158</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1.5</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Parker Barrile</w:t>
            </w:r>
            <w:r>
              <w:rPr>
                <w:rFonts w:ascii="Arial" w:cs="Arial" w:eastAsia="Arial" w:hAnsi="Arial"/>
                <w:sz w:val="21"/>
                <w:szCs w:val="21"/>
                <w:color w:val="auto"/>
                <w:vertAlign w:val="superscript"/>
              </w:rPr>
              <w:t>(4)</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12,458,934</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10.1</w:t>
            </w: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line="216" w:lineRule="exact"/>
              <w:rPr>
                <w:sz w:val="20"/>
                <w:szCs w:val="20"/>
                <w:color w:val="auto"/>
              </w:rPr>
            </w:pPr>
            <w:r>
              <w:rPr>
                <w:rFonts w:ascii="Arial" w:cs="Arial" w:eastAsia="Arial" w:hAnsi="Arial"/>
                <w:sz w:val="14"/>
                <w:szCs w:val="14"/>
                <w:color w:val="auto"/>
              </w:rPr>
              <w:t>Kenneth Fox</w:t>
            </w:r>
            <w:r>
              <w:rPr>
                <w:rFonts w:ascii="Arial" w:cs="Arial" w:eastAsia="Arial" w:hAnsi="Arial"/>
                <w:sz w:val="24"/>
                <w:szCs w:val="24"/>
                <w:color w:val="auto"/>
                <w:vertAlign w:val="superscript"/>
              </w:rPr>
              <w:t>(5)</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6,903,905</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5.6</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Heather Hiles</w:t>
            </w:r>
            <w:r>
              <w:rPr>
                <w:rFonts w:ascii="Arial" w:cs="Arial" w:eastAsia="Arial" w:hAnsi="Arial"/>
                <w:sz w:val="21"/>
                <w:szCs w:val="21"/>
                <w:color w:val="auto"/>
                <w:vertAlign w:val="superscript"/>
              </w:rPr>
              <w:t>(6)</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31,250</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rPr>
                <w:sz w:val="20"/>
                <w:szCs w:val="20"/>
                <w:color w:val="auto"/>
              </w:rPr>
            </w:pPr>
            <w:r>
              <w:rPr>
                <w:rFonts w:ascii="Arial" w:cs="Arial" w:eastAsia="Arial" w:hAnsi="Arial"/>
                <w:sz w:val="14"/>
                <w:szCs w:val="14"/>
                <w:color w:val="auto"/>
              </w:rPr>
              <w:t>Lawrence Illg</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Jeffrey Lieberman</w:t>
            </w:r>
            <w:r>
              <w:rPr>
                <w:rFonts w:ascii="Arial" w:cs="Arial" w:eastAsia="Arial" w:hAnsi="Arial"/>
                <w:sz w:val="21"/>
                <w:szCs w:val="21"/>
                <w:color w:val="auto"/>
                <w:vertAlign w:val="superscript"/>
              </w:rPr>
              <w:t>(7)</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42,032,260</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34.0</w:t>
            </w:r>
          </w:p>
        </w:tc>
        <w:tc>
          <w:tcPr>
            <w:tcW w:w="980" w:type="dxa"/>
            <w:vAlign w:val="bottom"/>
          </w:tcPr>
          <w:p>
            <w:pPr>
              <w:jc w:val="right"/>
              <w:spacing w:after="0"/>
              <w:rPr>
                <w:sz w:val="20"/>
                <w:szCs w:val="20"/>
                <w:color w:val="auto"/>
              </w:rPr>
            </w:pPr>
            <w:r>
              <w:rPr>
                <w:rFonts w:ascii="Arial" w:cs="Arial" w:eastAsia="Arial" w:hAnsi="Arial"/>
                <w:sz w:val="14"/>
                <w:szCs w:val="14"/>
                <w:color w:val="auto"/>
              </w:rPr>
              <w:t>30.5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line="216" w:lineRule="exact"/>
              <w:rPr>
                <w:sz w:val="20"/>
                <w:szCs w:val="20"/>
                <w:color w:val="auto"/>
              </w:rPr>
            </w:pPr>
            <w:r>
              <w:rPr>
                <w:rFonts w:ascii="Arial" w:cs="Arial" w:eastAsia="Arial" w:hAnsi="Arial"/>
                <w:sz w:val="14"/>
                <w:szCs w:val="14"/>
                <w:color w:val="auto"/>
              </w:rPr>
              <w:t>Lydia Paterson</w:t>
            </w:r>
            <w:r>
              <w:rPr>
                <w:rFonts w:ascii="Arial" w:cs="Arial" w:eastAsia="Arial" w:hAnsi="Arial"/>
                <w:sz w:val="24"/>
                <w:szCs w:val="24"/>
                <w:color w:val="auto"/>
                <w:vertAlign w:val="superscript"/>
              </w:rPr>
              <w:t>(8)</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47,916</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260"/>
              <w:spacing w:after="0" w:line="189" w:lineRule="exact"/>
              <w:rPr>
                <w:sz w:val="20"/>
                <w:szCs w:val="20"/>
                <w:color w:val="auto"/>
              </w:rPr>
            </w:pPr>
            <w:r>
              <w:rPr>
                <w:rFonts w:ascii="Arial" w:cs="Arial" w:eastAsia="Arial" w:hAnsi="Arial"/>
                <w:sz w:val="13"/>
                <w:szCs w:val="13"/>
                <w:color w:val="auto"/>
              </w:rPr>
              <w:t>All current executive officers and directors as a group (14 persons)</w:t>
            </w:r>
            <w:r>
              <w:rPr>
                <w:rFonts w:ascii="Arial" w:cs="Arial" w:eastAsia="Arial" w:hAnsi="Arial"/>
                <w:sz w:val="21"/>
                <w:szCs w:val="21"/>
                <w:color w:val="auto"/>
                <w:vertAlign w:val="superscript"/>
              </w:rPr>
              <w:t>(9)</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68,115,054</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53.1</w:t>
            </w:r>
          </w:p>
        </w:tc>
        <w:tc>
          <w:tcPr>
            <w:tcW w:w="980" w:type="dxa"/>
            <w:vAlign w:val="bottom"/>
          </w:tcPr>
          <w:p>
            <w:pPr>
              <w:jc w:val="right"/>
              <w:spacing w:after="0"/>
              <w:rPr>
                <w:sz w:val="20"/>
                <w:szCs w:val="20"/>
                <w:color w:val="auto"/>
              </w:rPr>
            </w:pPr>
            <w:r>
              <w:rPr>
                <w:rFonts w:ascii="Arial" w:cs="Arial" w:eastAsia="Arial" w:hAnsi="Arial"/>
                <w:sz w:val="14"/>
                <w:szCs w:val="14"/>
                <w:color w:val="auto"/>
              </w:rPr>
              <w:t>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5% Stockholders:</w:t>
            </w:r>
          </w:p>
        </w:tc>
        <w:tc>
          <w:tcPr>
            <w:tcW w:w="204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Entities affiliated with Insight Partners</w:t>
            </w:r>
            <w:r>
              <w:rPr>
                <w:rFonts w:ascii="Arial" w:cs="Arial" w:eastAsia="Arial" w:hAnsi="Arial"/>
                <w:sz w:val="21"/>
                <w:szCs w:val="21"/>
                <w:color w:val="auto"/>
                <w:vertAlign w:val="superscript"/>
              </w:rPr>
              <w:t>(10)</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42,032,260</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34.0</w:t>
            </w:r>
          </w:p>
        </w:tc>
        <w:tc>
          <w:tcPr>
            <w:tcW w:w="980" w:type="dxa"/>
            <w:vAlign w:val="bottom"/>
          </w:tcPr>
          <w:p>
            <w:pPr>
              <w:jc w:val="right"/>
              <w:spacing w:after="0"/>
              <w:rPr>
                <w:sz w:val="20"/>
                <w:szCs w:val="20"/>
                <w:color w:val="auto"/>
              </w:rPr>
            </w:pPr>
            <w:r>
              <w:rPr>
                <w:rFonts w:ascii="Arial" w:cs="Arial" w:eastAsia="Arial" w:hAnsi="Arial"/>
                <w:sz w:val="14"/>
                <w:szCs w:val="14"/>
                <w:color w:val="auto"/>
              </w:rPr>
              <w:t>30.5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line="216" w:lineRule="exact"/>
              <w:rPr>
                <w:sz w:val="20"/>
                <w:szCs w:val="20"/>
                <w:color w:val="auto"/>
              </w:rPr>
            </w:pPr>
            <w:r>
              <w:rPr>
                <w:rFonts w:ascii="Arial" w:cs="Arial" w:eastAsia="Arial" w:hAnsi="Arial"/>
                <w:sz w:val="14"/>
                <w:szCs w:val="14"/>
                <w:color w:val="auto"/>
              </w:rPr>
              <w:t>MIH Edtech Investments B.V.</w:t>
            </w:r>
            <w:r>
              <w:rPr>
                <w:rFonts w:ascii="Arial" w:cs="Arial" w:eastAsia="Arial" w:hAnsi="Arial"/>
                <w:sz w:val="24"/>
                <w:szCs w:val="24"/>
                <w:color w:val="auto"/>
                <w:vertAlign w:val="superscript"/>
              </w:rPr>
              <w:t>(11)</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17,120,840</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13.9</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line="189" w:lineRule="exact"/>
              <w:rPr>
                <w:sz w:val="20"/>
                <w:szCs w:val="20"/>
                <w:color w:val="auto"/>
              </w:rPr>
            </w:pPr>
            <w:r>
              <w:rPr>
                <w:rFonts w:ascii="Arial" w:cs="Arial" w:eastAsia="Arial" w:hAnsi="Arial"/>
                <w:sz w:val="13"/>
                <w:szCs w:val="13"/>
                <w:color w:val="auto"/>
              </w:rPr>
              <w:t>Norwest Venture Partners XII, LP</w:t>
            </w:r>
            <w:r>
              <w:rPr>
                <w:rFonts w:ascii="Arial" w:cs="Arial" w:eastAsia="Arial" w:hAnsi="Arial"/>
                <w:sz w:val="21"/>
                <w:szCs w:val="21"/>
                <w:color w:val="auto"/>
                <w:vertAlign w:val="superscript"/>
              </w:rPr>
              <w:t>(12)</w:t>
            </w:r>
          </w:p>
        </w:tc>
        <w:tc>
          <w:tcPr>
            <w:tcW w:w="2040" w:type="dxa"/>
            <w:vAlign w:val="bottom"/>
          </w:tcPr>
          <w:p>
            <w:pPr>
              <w:jc w:val="right"/>
              <w:ind w:right="208"/>
              <w:spacing w:after="0"/>
              <w:rPr>
                <w:sz w:val="20"/>
                <w:szCs w:val="20"/>
                <w:color w:val="auto"/>
              </w:rPr>
            </w:pPr>
            <w:r>
              <w:rPr>
                <w:rFonts w:ascii="Arial" w:cs="Arial" w:eastAsia="Arial" w:hAnsi="Arial"/>
                <w:sz w:val="14"/>
                <w:szCs w:val="14"/>
                <w:color w:val="auto"/>
              </w:rPr>
              <w:t>12,458,934</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10.1</w:t>
            </w: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spacing w:after="0" w:line="216" w:lineRule="exact"/>
              <w:rPr>
                <w:sz w:val="20"/>
                <w:szCs w:val="20"/>
                <w:color w:val="auto"/>
              </w:rPr>
            </w:pPr>
            <w:r>
              <w:rPr>
                <w:rFonts w:ascii="Arial" w:cs="Arial" w:eastAsia="Arial" w:hAnsi="Arial"/>
                <w:sz w:val="14"/>
                <w:szCs w:val="14"/>
                <w:color w:val="auto"/>
              </w:rPr>
              <w:t>Stripes III, LP</w:t>
            </w:r>
            <w:r>
              <w:rPr>
                <w:rFonts w:ascii="Arial" w:cs="Arial" w:eastAsia="Arial" w:hAnsi="Arial"/>
                <w:sz w:val="24"/>
                <w:szCs w:val="24"/>
                <w:color w:val="auto"/>
                <w:vertAlign w:val="superscript"/>
              </w:rPr>
              <w:t>(13)</w:t>
            </w:r>
          </w:p>
        </w:tc>
        <w:tc>
          <w:tcPr>
            <w:tcW w:w="204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auto"/>
              </w:rPr>
              <w:t>6,903,905</w:t>
            </w:r>
          </w:p>
        </w:tc>
        <w:tc>
          <w:tcPr>
            <w:tcW w:w="130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5.6</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69"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3,680,382 shares subject to stock options exercisable within 60 days of October 15, 2021.</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63,875 shares held of record by Mr. Argerich and (ii) 33,093 shares subject to stock options exercisable within 60 days of October 15, 2021.</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1,841,158 shares held of record by Mr. Bali.</w:t>
      </w:r>
    </w:p>
    <w:p>
      <w:pPr>
        <w:spacing w:after="0" w:line="68" w:lineRule="exact"/>
        <w:rPr>
          <w:rFonts w:ascii="Arial" w:cs="Arial" w:eastAsia="Arial" w:hAnsi="Arial"/>
          <w:sz w:val="14"/>
          <w:szCs w:val="14"/>
          <w:color w:val="auto"/>
        </w:rPr>
      </w:pPr>
    </w:p>
    <w:p>
      <w:pPr>
        <w:ind w:left="540" w:right="540" w:hanging="424"/>
        <w:spacing w:after="0" w:line="258"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shares held of record by Norwest Venture Partners XII, LP, identified in footnote 12 below. Mr. Barrile resigned from our board of directors effective October 28, 2021.</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shares held of record by Stripes III, LP, or Stripes III, identified in footnote 13 below.</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31,250 shares subject to stock options exercisable within 60 days of October 15, 2021.</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shares held of record by entities affiliated with Insight Partners, identified in footnote 10 below.</w:t>
      </w:r>
    </w:p>
    <w:p>
      <w:pPr>
        <w:spacing w:after="0" w:line="68" w:lineRule="exact"/>
        <w:rPr>
          <w:rFonts w:ascii="Arial" w:cs="Arial" w:eastAsia="Arial" w:hAnsi="Arial"/>
          <w:sz w:val="14"/>
          <w:szCs w:val="14"/>
          <w:color w:val="auto"/>
        </w:rPr>
      </w:pPr>
    </w:p>
    <w:p>
      <w:pPr>
        <w:ind w:left="540" w:hanging="424"/>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47,916 shares subject to stock options exercisable within 60 days of October 15, 2021.</w:t>
      </w:r>
    </w:p>
    <w:p>
      <w:pPr>
        <w:spacing w:after="0" w:line="68" w:lineRule="exact"/>
        <w:rPr>
          <w:rFonts w:ascii="Arial" w:cs="Arial" w:eastAsia="Arial" w:hAnsi="Arial"/>
          <w:sz w:val="14"/>
          <w:szCs w:val="14"/>
          <w:color w:val="auto"/>
        </w:rPr>
      </w:pPr>
    </w:p>
    <w:p>
      <w:pPr>
        <w:ind w:left="540" w:right="260" w:hanging="424"/>
        <w:spacing w:after="0" w:line="258"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63,412,116 shares beneficially owned by our executive officers and directors and (ii) 4,702,938 shares subject to stock options exercisable within 60 days of October 15, 2021.</w:t>
      </w:r>
    </w:p>
    <w:p>
      <w:pPr>
        <w:spacing w:after="0" w:line="45" w:lineRule="exact"/>
        <w:rPr>
          <w:rFonts w:ascii="Arial" w:cs="Arial" w:eastAsia="Arial" w:hAnsi="Arial"/>
          <w:sz w:val="14"/>
          <w:szCs w:val="14"/>
          <w:color w:val="auto"/>
        </w:rPr>
      </w:pPr>
    </w:p>
    <w:p>
      <w:pPr>
        <w:ind w:left="540" w:right="20" w:hanging="424"/>
        <w:spacing w:after="0" w:line="242"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1,088,764 shares held of record by Grace Software Cross Fund Holdings, LLC, or Grace, (ii) 11,778,259 shares held of record by Insight Venture Partners (Cayman) VII, L.P., or Insight Cayman, (iii) 1,692,351 shares held of record by Insight Venture Partners (Delaware) VII, L.P., or Insight Delaware, (iv) 619,269 shares held of record by Insight Venture Partners VII (Co-Investors), L.P., or Insight Co-Investors, (v) 26,755,331 shares held of record by Insight Venture Partners VII, L.P., or Insight Venture, and (vi) 98,286 shares held of record by Insight Partners Public Equities Master Fund, L.P., or IPPE Master Fund. Insight Holdings Group, LLC, or Holdings, is the sole shareholder of each of Insight Venture Associates VII, Ltd., or IVA VII Ltd, Insight Associates XI, Ltd., or IA XI Ltd, and Insight Venture Management, LLC, or IVM. IVA VII Ltd. is the general partner of Insight Venture Associates VII, L.P., or IVA VII LP, which is the general partner of Insight Venture, Insight Cayman, Insight Delaware, and Insight Co-Investors, or collectively, Fund VII. IA XI Ltd is the general partner of Insight Associates XI L.P., or IA XI LP, which is the manager of Grace. IVM is the sole member of Insight Partners Public Equities GP, LLC, or IPPE GP, which is the general partner of IPPE Master Fund. Each of Jeffrey L. Horing, Deven Parekh, Jeffrey Lieberman, and Michael Triplett is a member of the board of managers of Holdings. Because Messrs. Horing, Parekh, Lieberman, and Triplett are members of the board of managers of Holdings, and because Holdings is the sole shareholder of each of IVA VII Ltd, IA XI Ltd and IVM, IVA VII LP is the general partner of Fund VII, IA XI LP is the manager of Grace, IVM is the sole member of IPPE GP, and IPPE GP is the general partner of IPPE Master Fund, Messrs. Horing, Parekh, Lieberman, and Triplett may be deemed to share voting and dispositive power over the shares noted above. Each of Messrs. Horing, Parekh, Lieberman, and Triplett disclaims beneficial ownership of the shares held of record by each of Fund VII, Grace, and IPPE Master Fund, except to the extent of his pecuniary interest therein, if any. The address for each of these entities and individuals is 1114 Avenue of the Americas, 36th Floor, New York, New York 10036.</w:t>
      </w:r>
    </w:p>
    <w:p>
      <w:pPr>
        <w:spacing w:after="0" w:line="224" w:lineRule="exact"/>
        <w:rPr>
          <w:rFonts w:ascii="Arial" w:cs="Arial" w:eastAsia="Arial" w:hAnsi="Arial"/>
          <w:sz w:val="14"/>
          <w:szCs w:val="14"/>
          <w:color w:val="auto"/>
        </w:rPr>
      </w:pPr>
    </w:p>
    <w:p>
      <w:pPr>
        <w:ind w:left="540" w:right="60" w:hanging="424"/>
        <w:spacing w:after="0" w:line="243"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17,120,840 shares held of record by MIH Edtech Investments B.V., or Edtech. Edtech is a subsidiary of Prosus N.V., or Prosus, a publicly traded company whose shares are listed on the Euronext Amsterdam. A majority of the voting power of the outstanding ordinary shares of Prosus N.V. is held by Naspers Limited, a publicly traded company whose shares are listed on the Johannesburg Stock Exchange. As a result, the shares of our company held by Edtech may be deemed to be beneficially owned by Prosus and Naspers Limited. Naspers Limited employs a differential voting structure involving two South African entities, Naspers Beleggings (RF) Beperk, or Nasbel, and Keeromstraat 30 Beleggings (RF) Beperk, or Keerom, the sole remit of which is to protect the continued independence of Naspers Limited. Each of Nasbel and Keerom disclaims beneficial ownership of all shares of our common stock, except to the extent of their respective pecuniary interests therein, if any. Lawrence Illg, a member of our board of directors, serves as Chief Executive Officer, Food and EdTech, for Prosus, but has no voting or dispositive control over the shares held by Edtech. The address for Edtech and Prosus is Gustav Mahlerplein 5, 1082 MS, Amsterdam, Netherlands. The address for Naspers Limited is 40 Heerengracht, Cape Town 8001, South Africa.</w:t>
      </w:r>
    </w:p>
    <w:p>
      <w:pPr>
        <w:spacing w:after="0" w:line="58" w:lineRule="exact"/>
        <w:rPr>
          <w:rFonts w:ascii="Arial" w:cs="Arial" w:eastAsia="Arial" w:hAnsi="Arial"/>
          <w:sz w:val="14"/>
          <w:szCs w:val="14"/>
          <w:color w:val="auto"/>
        </w:rPr>
      </w:pPr>
    </w:p>
    <w:p>
      <w:pPr>
        <w:ind w:left="540" w:right="140" w:hanging="424"/>
        <w:spacing w:after="0" w:line="245"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12,458,934 shares held of record by Norwest Venture Partners XII, LP. Genesis VC Partners XII, LLC is the general partner of Norwest Venture Partners XII, LP, and NVP Associates, LLC is the managing member of Genesis VC Partners XII, LLC. Each of Promod Haque, Jeffrey Crowe, and Jon Kossow, who are co-chief executive officers of NVP Associates, LLC, may be deemed to share voting and dispositive power over the shares held by Norwest Venture Partners XII, LP. Mr. Barrile, a member of our board of directors, disclaims beneficial ownership of all such shares, except to the extent of his pecuniary interest therein, if any. The address for each of these entities and individuals is c/o 525 University Avenue, #800, Palo Alto, California 94301.</w:t>
      </w:r>
    </w:p>
    <w:p>
      <w:pPr>
        <w:spacing w:after="0" w:line="55" w:lineRule="exact"/>
        <w:rPr>
          <w:rFonts w:ascii="Arial" w:cs="Arial" w:eastAsia="Arial" w:hAnsi="Arial"/>
          <w:sz w:val="14"/>
          <w:szCs w:val="14"/>
          <w:color w:val="auto"/>
        </w:rPr>
      </w:pPr>
    </w:p>
    <w:p>
      <w:pPr>
        <w:ind w:left="540" w:right="20" w:hanging="424"/>
        <w:spacing w:after="0" w:line="247"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6,903,905 shares held of record by Stripes III. Stripes GP III, LLC, or Stripes GP, the general partner of Stripes III, has sole voting and dispositive power over such shares and voting decisions with respect to such shares are made by Stripes Holdings, LLC, or Stripes Holdings, as the managing member of Stripes GP. Mr. Fox, a member of our board of directors, owns and controls Stripes Holdings, and may be deemed to beneficially own these shares. The address for each of these entities and Mr. Fox is 402 West 13th Street, 4th Floor, New York, New York 10014.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Description of capital stock</w:t>
      </w:r>
    </w:p>
    <w:p>
      <w:pPr>
        <w:spacing w:after="0" w:line="14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0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Immediately prior to the completion of this offering and the filing of our amended and restated certificate of incorporation to be effective upon completion of this offering, our authorized capital stock will consist of 950,000,000 shares of common stock, par value $0.00001 per share, and 50,000,000 shares of preferred stock, par value $0.00001 per share.</w:t>
      </w:r>
    </w:p>
    <w:p>
      <w:pPr>
        <w:spacing w:after="0" w:line="203" w:lineRule="exact"/>
        <w:rPr>
          <w:sz w:val="20"/>
          <w:szCs w:val="20"/>
          <w:color w:val="auto"/>
        </w:rPr>
      </w:pPr>
    </w:p>
    <w:p>
      <w:pPr>
        <w:ind w:left="120" w:right="920"/>
        <w:spacing w:after="0" w:line="246" w:lineRule="auto"/>
        <w:rPr>
          <w:sz w:val="20"/>
          <w:szCs w:val="20"/>
          <w:color w:val="auto"/>
        </w:rPr>
      </w:pPr>
      <w:r>
        <w:rPr>
          <w:rFonts w:ascii="Arial" w:cs="Arial" w:eastAsia="Arial" w:hAnsi="Arial"/>
          <w:sz w:val="18"/>
          <w:szCs w:val="18"/>
          <w:color w:val="auto"/>
        </w:rPr>
        <w:t>Immediately prior to the completion of this offering, all the outstanding shares of our redeemable convertible preferred stock will automatically convert into an aggregate of 85,403,933 shares of our common stock.</w:t>
      </w:r>
    </w:p>
    <w:p>
      <w:pPr>
        <w:spacing w:after="0" w:line="1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Based on 37,523,533 shares of common stock outstanding as of June 30, 2021, and after giving effect to the automatic conversion of all of our outstanding redeemable convertible preferred stock into an aggregate of 85,403,933 shares of common stock immediately prior to the completion of this offering and the issuance of 14,500,000 shares of common stock in this offering, there will be 137,427,466 shares of common stock outstanding upon the completion of this offering. As of June 30, 2021, we had approximately 471 stockholders of record.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holders of our common stock are subject to and may be adversely affected by the rights of the holders of shares of any series of our preferred stock that we may designate in the future.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0"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Upon the completion of this offering, our board of directors will have the authority, without further action by the stockholders, to issue up to 50,000,000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pacing w:after="0" w:line="130"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As of June 30, 2021, we had outstanding options to purchase an aggregate of 20,173,022 shares of our common stock, with a weighted-average exercise price of $7.39 per share, under our 2010 Plan. This excludes 103,663 stock appreciation rights outstanding as June 30, 2021 that will be settled in cash upon exercise.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0"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After the completion of this offering, under our investors’ rights agreement, as amended, the holders of 109,132,406 shares of common stock or their transferees, will have the right to require us to register the offer and sale of their shares or to include their shares in any registration statement we file, in each case as described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After the completion of this offering, the holders of up to 109,132,406 shares of our common stock will be entitled to certain demand registration rights. At any time beginning after 180 days following the date of effectiveness of the registration statement of which this prospectus forms a part, the holders of at least 30% of the shares having registration rights can request that we file a registration statement to register the offer and sale of their shares. We are only obligated to effect up to two such registrations. Each such request for registration must cover securities the anticipated aggregate gross proceeds of which, before deducting underwriting discounts and expenses, is at least $10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once in any twelve-month period, for a period of up to 90 days.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After the completion of this offering, the holders of up to 109,132,406 shares of our common stock will be entitled to certain Form S-3 registration rights. At any time after the completion of this offering when we are eligible to file a registration statement on Form S-3, the holders of the shares having these rights can request that we register the offer and sale of their shares of our common stock on a registration statement on Form S-3 so long as the request covers securities of which the anticipated aggregate public offering price is at least $1.0 million. These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once in any twelve-month period, for a period of up to 90 days.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After the completion of this offering, the holders of up to 109,132,406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relating to the offer and sale of debt securities, (3) a registration on any registration form that does not permit secondary sales, or (4)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exceptions.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The registration rights terminate upon the earlier of (1) the closing of certain liquidation events or (2) the date that is five years after the closing of this offering.</w:t>
      </w:r>
    </w:p>
    <w:p>
      <w:pPr>
        <w:spacing w:after="0" w:line="165" w:lineRule="exact"/>
        <w:rPr>
          <w:sz w:val="20"/>
          <w:szCs w:val="20"/>
          <w:color w:val="auto"/>
        </w:rPr>
      </w:pPr>
    </w:p>
    <w:p>
      <w:pPr>
        <w:ind w:left="120" w:right="860"/>
        <w:spacing w:after="0" w:line="261" w:lineRule="auto"/>
        <w:rPr>
          <w:sz w:val="20"/>
          <w:szCs w:val="20"/>
          <w:color w:val="auto"/>
        </w:rPr>
      </w:pPr>
      <w:r>
        <w:rPr>
          <w:rFonts w:ascii="Arial" w:cs="Arial" w:eastAsia="Arial" w:hAnsi="Arial"/>
          <w:sz w:val="22"/>
          <w:szCs w:val="22"/>
          <w:b w:val="1"/>
          <w:bCs w:val="1"/>
          <w:color w:val="auto"/>
        </w:rPr>
        <w:t>Anti-takeover effects of certain provisions of Delaware law, our amended and restated certificate of incorporation, and our amended and restated bylaws</w:t>
      </w:r>
    </w:p>
    <w:p>
      <w:pPr>
        <w:spacing w:after="0" w:line="7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26"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Our amended and restated certificate of incorporation will provide for the division of our board of directors into three classes, designated Class I, Class II, and Class III. Each class will be an equal number of directors, as nearly as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possible, consisting of one-third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2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Our amended and restated certificate of incorporation will provide that stockholders may remove a director only for cause and only by the affirmative vote of the holders of at least a majority of the voting power of the issued and outstanding capital stock entitled to vote in the election of directors.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 and newly created directorships</w:t>
      </w:r>
    </w:p>
    <w:p>
      <w:pPr>
        <w:spacing w:after="0" w:line="126"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Our amended and restated certificate of incorporation will provide that all vacancies and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holders of our preferred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26"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2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our board of directors acting pursuant to a resolution adopted by the majority of the entire board of directors, by the Chairperson of our board of directors, our Chief Executive Officer, or our President.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26"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by our corporate secretary at our principal executive offices before notice of the meeting is issued by our corporate secretary,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26" w:lineRule="exact"/>
        <w:rPr>
          <w:sz w:val="20"/>
          <w:szCs w:val="20"/>
          <w:color w:val="auto"/>
        </w:rPr>
      </w:pPr>
    </w:p>
    <w:p>
      <w:pPr>
        <w:ind w:left="120" w:right="320"/>
        <w:spacing w:after="0" w:line="274"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2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amended and restated certificate of incorporation, and our amended and restated bylaws or (4) any other action asserting a claim that is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34" w:lineRule="auto"/>
        <w:rPr>
          <w:sz w:val="20"/>
          <w:szCs w:val="20"/>
          <w:color w:val="auto"/>
        </w:rPr>
      </w:pPr>
      <w:r>
        <w:rPr>
          <w:rFonts w:ascii="Arial" w:cs="Arial" w:eastAsia="Arial" w:hAnsi="Arial"/>
          <w:sz w:val="18"/>
          <w:szCs w:val="18"/>
          <w:color w:val="auto"/>
        </w:rPr>
        <w:t>governed by the internal affairs doctrine shall be the Court of Chancery of the State of Delaware (or, if the Court of Chancery does not have jurisdiction, another state court in Delaware or the federal district court for the District of Delaware), except for, as to each of</w:t>
      </w:r>
    </w:p>
    <w:p>
      <w:pPr>
        <w:spacing w:after="0" w:line="1" w:lineRule="exact"/>
        <w:rPr>
          <w:sz w:val="20"/>
          <w:szCs w:val="20"/>
          <w:color w:val="auto"/>
        </w:rPr>
      </w:pPr>
    </w:p>
    <w:p>
      <w:pPr>
        <w:ind w:left="120" w:right="80" w:hanging="4"/>
        <w:spacing w:after="0" w:line="238" w:lineRule="auto"/>
        <w:tabs>
          <w:tab w:leader="none" w:pos="3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(4)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Exchange Act and inclusive of rules and regulations thereunder.</w:t>
      </w:r>
    </w:p>
    <w:p>
      <w:pPr>
        <w:spacing w:after="0" w:line="202"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203"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Any person or entity purchasing or otherwise acquiring or holding or owning (or continuing to hold or own) any interest in any of our securities shall be deemed to have notice of and consented to the foregoing bylaw provisions. Stockholders will not be deemed to have waived compliance with the federal securities laws and the rules and regulations thereunder as a result of these exclusive forum provisions.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26"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except for any amendment or alteration relating to (1) the issuance of preferred stock, (2) the prohibition against cumulative voting, (3) the classification, election, resignation, and vacancies of directors, (4) annual or special meetings of the stockholders, and (5) the voting thresholds to amend or alter the certificate of incorporation, all which would require approval of a majority of our entire board and the affirmative vote of a two-thirds majority of our then outstanding common stock. Our amended and restated bylaws may be adopted, amended, altered, or repealed by stockholders only upon approval of at least a majority of the voting power of all the then outstanding shares of the common stock, except for any amendment or alteration of the provisions described above relating to (1) the classification, election, resignation, and vacancies of directors, (2) the indemnification of officers and directors, (3) forum selection, and (4) the voting thresholds to amend or alter the bylaws, all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26"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Nasdaq, and could be used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our company by means of a proxy contest, tender offer, merger, or otherwise.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(1) prior to such time the board of directors of such corporation approved either the business combination or the transaction that resulted in the stockholder becoming an interested stockholder; (2) upon consummation of the transaction that resulted in the stockholder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26"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policies are useful to attract and retain qualified directors and executive officers.</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“UDMY”.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completion of this offering, the transfer agent and registrar for our common stock will be American Stock Transfer &amp; Trust Company.</w:t>
      </w:r>
    </w:p>
    <w:p>
      <w:pPr>
        <w:ind w:left="120"/>
        <w:spacing w:after="0"/>
        <w:rPr>
          <w:sz w:val="20"/>
          <w:szCs w:val="20"/>
          <w:color w:val="auto"/>
        </w:rPr>
      </w:pPr>
      <w:r>
        <w:rPr>
          <w:rFonts w:ascii="Arial" w:cs="Arial" w:eastAsia="Arial" w:hAnsi="Arial"/>
          <w:sz w:val="18"/>
          <w:szCs w:val="18"/>
          <w:color w:val="auto"/>
        </w:rPr>
        <w:t>The transfer agent and registrar’s address is 6201 15th Avenue, Brooklyn, New York 11219.</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Shares eligible for future sale</w:t>
      </w:r>
    </w:p>
    <w:p>
      <w:pPr>
        <w:spacing w:after="0" w:line="14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and although our common stock has been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2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Upon completion of this offering, based on our shares outstanding as of June 30, 2021 and after giving effect to the automatic conversion of all outstanding shares of our redeemable convertible preferred stock, 137,427,466 shares of our common stock will be outstanding, or 139,602,466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217" w:lineRule="exact"/>
        <w:rPr>
          <w:sz w:val="20"/>
          <w:szCs w:val="20"/>
          <w:color w:val="auto"/>
        </w:rPr>
      </w:pPr>
    </w:p>
    <w:p>
      <w:pPr>
        <w:ind w:left="1180"/>
        <w:spacing w:after="0"/>
        <w:tabs>
          <w:tab w:leader="none" w:pos="7220" w:val="left"/>
        </w:tabs>
        <w:rPr>
          <w:sz w:val="20"/>
          <w:szCs w:val="20"/>
          <w:color w:val="auto"/>
        </w:rPr>
      </w:pPr>
      <w:r>
        <w:rPr>
          <w:rFonts w:ascii="Arial" w:cs="Arial" w:eastAsia="Arial" w:hAnsi="Arial"/>
          <w:sz w:val="14"/>
          <w:szCs w:val="14"/>
          <w:b w:val="1"/>
          <w:bCs w:val="1"/>
          <w:color w:val="auto"/>
        </w:rPr>
        <w:t>Earliest Date Available for Sale in the Public Market</w:t>
      </w:r>
      <w:r>
        <w:rPr>
          <w:sz w:val="20"/>
          <w:szCs w:val="20"/>
          <w:color w:val="auto"/>
        </w:rPr>
        <w:tab/>
      </w:r>
      <w:r>
        <w:rPr>
          <w:rFonts w:ascii="Arial" w:cs="Arial" w:eastAsia="Arial" w:hAnsi="Arial"/>
          <w:sz w:val="14"/>
          <w:szCs w:val="14"/>
          <w:b w:val="1"/>
          <w:bCs w:val="1"/>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 w:lineRule="exact"/>
        <w:rPr>
          <w:sz w:val="20"/>
          <w:szCs w:val="20"/>
          <w:color w:val="auto"/>
        </w:rPr>
      </w:pPr>
    </w:p>
    <w:p>
      <w:pPr>
        <w:jc w:val="both"/>
        <w:ind w:left="120"/>
        <w:spacing w:after="0" w:line="235" w:lineRule="auto"/>
        <w:rPr>
          <w:sz w:val="20"/>
          <w:szCs w:val="20"/>
          <w:color w:val="auto"/>
        </w:rPr>
      </w:pPr>
      <w:r>
        <w:rPr>
          <w:rFonts w:ascii="Arial" w:cs="Arial" w:eastAsia="Arial" w:hAnsi="Arial"/>
          <w:sz w:val="15"/>
          <w:szCs w:val="15"/>
          <w:color w:val="auto"/>
        </w:rPr>
        <w:t>The second trading day immediately following our public release of earnings for the first completed quarterly period following the most recent period for which financial statements are included in this prospectus, or the First Early Release Date.</w:t>
      </w:r>
    </w:p>
    <w:p>
      <w:pPr>
        <w:spacing w:after="0" w:line="209" w:lineRule="exact"/>
        <w:rPr>
          <w:sz w:val="20"/>
          <w:szCs w:val="20"/>
          <w:color w:val="auto"/>
        </w:rPr>
      </w:pPr>
    </w:p>
    <w:p>
      <w:pPr>
        <w:ind w:left="120"/>
        <w:spacing w:after="0" w:line="229" w:lineRule="auto"/>
        <w:rPr>
          <w:sz w:val="20"/>
          <w:szCs w:val="20"/>
          <w:color w:val="auto"/>
        </w:rPr>
      </w:pPr>
      <w:r>
        <w:rPr>
          <w:rFonts w:ascii="Arial" w:cs="Arial" w:eastAsia="Arial" w:hAnsi="Arial"/>
          <w:sz w:val="15"/>
          <w:szCs w:val="15"/>
          <w:color w:val="auto"/>
        </w:rPr>
        <w:t>The second trading day immediately following our public release of earnings for the second completed quarterly period following the most recent period for which financial statements are included in this prospectus, or the Second Early Release Date, provided, that, with respect to certain security holders of ours, or Other Early Release Persons, who are not directors, officers, or Early Release Employees, the closing price of our common stock on Nasdaq must be at least 25% greater than the initial public offering price per share set forth on the cover page of this prospectus for the periods described in the section titled “Underwriting.”</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 180</w:t>
      </w:r>
      <w:r>
        <w:rPr>
          <w:rFonts w:ascii="Arial" w:cs="Arial" w:eastAsia="Arial" w:hAnsi="Arial"/>
          <w:sz w:val="13"/>
          <w:szCs w:val="13"/>
          <w:color w:val="auto"/>
        </w:rPr>
        <w:t>th</w:t>
      </w:r>
      <w:r>
        <w:rPr>
          <w:rFonts w:ascii="Arial" w:cs="Arial" w:eastAsia="Arial" w:hAnsi="Arial"/>
          <w:sz w:val="15"/>
          <w:szCs w:val="15"/>
          <w:color w:val="auto"/>
        </w:rPr>
        <w:t xml:space="preserve"> day after the date of this prospectus.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80"/>
        <w:spacing w:after="0" w:line="242" w:lineRule="auto"/>
        <w:rPr>
          <w:sz w:val="20"/>
          <w:szCs w:val="20"/>
          <w:color w:val="auto"/>
        </w:rPr>
      </w:pPr>
      <w:r>
        <w:rPr>
          <w:rFonts w:ascii="Arial" w:cs="Arial" w:eastAsia="Arial" w:hAnsi="Arial"/>
          <w:sz w:val="15"/>
          <w:szCs w:val="15"/>
          <w:color w:val="auto"/>
        </w:rPr>
        <w:t>Up to approximately 440,000 additional shares. Includes certain securities held by Early Release Employees.</w:t>
      </w:r>
    </w:p>
    <w:p>
      <w:pPr>
        <w:spacing w:after="0" w:line="368"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Up to approximately 18,600,000 additional shares. Includes certain securities held by Early Release Employees and Other Early Release Persons. If the closing price target is not met, then this release will be limited to up to approximately 1,100,000 additional shares held by Early Release Employees with no release of shares for Other Early Release Persons. Does not give effect, in either case, to up to approximately 440,000 shares available for sale following the First Early Release Date that may be sold following the Second Early Release Date.</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All remaining shares held by our stockholders not previously eligible for sale, subject to volume limitations applicable to “affiliates” under Rule 144 as described below.</w:t>
      </w:r>
    </w:p>
    <w:p>
      <w:pPr>
        <w:spacing w:after="0" w:line="166" w:lineRule="exact"/>
        <w:rPr>
          <w:sz w:val="20"/>
          <w:szCs w:val="20"/>
          <w:color w:val="auto"/>
        </w:rPr>
      </w:pPr>
    </w:p>
    <w:p>
      <w:pPr>
        <w:sectPr>
          <w:pgSz w:w="11900" w:h="16838" w:orient="portrait"/>
          <w:cols w:equalWidth="0" w:num="2">
            <w:col w:w="5740" w:space="120"/>
            <w:col w:w="52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Lock-up agreements and market stand-off agreements</w:t>
      </w:r>
    </w:p>
    <w:p>
      <w:pPr>
        <w:spacing w:after="0" w:line="13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lock-up agreements with the underwriters, pursuant to which they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or the restricted period, without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320" w:top="459" w:right="4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the prior consent of Morgan Stanley &amp; Co. LLC, except that (i) employees of ours with a title below senior vice president, or Early Release Employees, will be released from this restriction with respect to a number of shares of common stock equal to 10% of such Early Release Employees’ vested equity at the opening of trading on the second trading day immediately following our public release of earnings (which for this purpose does not include “flash” numbers or preliminary, partial earnings) for the first quarter following the most recent period for which financial statements are included in this prospectus, or the First Early Release Date, and with respect to a number of shares of common stock equal to 25% of such Early Release Employees’ vested equity at the opening of trading on the second trading day immediately following our public release of earnings (which for this purpose does not include “flash” numbers or preliminary, partial earnings) for the second quarter following the most recent period for which financial statements are included in this prospectus, or the Second Early Release Date, and (ii) security holders of ours who are not directors or officers of ours, and are not Early Release Employees, or Other Early Release Persons, will be released from this restriction with respect to a number of shares of common stock equal to 15% of such Other Early Release Persons’ vested equity, provided, further, that such Other Early Release Persons will only be released from such restrictions to the extent that the last reported closing price of our common stock on the exchange on which our common stock is listed is at least 25% greater than the initial public offering price per share set forth on the cover page of this prospectus for any 10 trading days out of the 15-consecutive full trading day period ending on the closing of the first full trading day immediately prior to the Second Early Release Date.</w:t>
      </w:r>
    </w:p>
    <w:p>
      <w:pPr>
        <w:spacing w:after="0" w:line="21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If a release is granted by Morgan Stanley &amp; Co. LLC to one of our directors, officers or holders of 4% or more of our outstanding common stock, then our 5% stockholders (as identified elsewhere in this prospectus) will be released from such restriction on a pro-rata basis, subject to certain exceptions set forth in the lock-up agreements.</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lock-up agreements and market standoff agreements described above are subject to a number of exceptions. See “Underwriters” for information about these exceptions and a further description of these agreements. Upon the expiration of the restricted period, substantially all of the securities subject to such transfer restrictions will become eligible for sale, subject to the limitations discussed in this section.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0"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w:t>
      </w:r>
    </w:p>
    <w:p>
      <w:pPr>
        <w:spacing w:after="0" w:line="195"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such shares that does not exceed the greater of the following:</w:t>
      </w:r>
    </w:p>
    <w:p>
      <w:pPr>
        <w:spacing w:after="0" w:line="110" w:lineRule="exact"/>
        <w:rPr>
          <w:sz w:val="20"/>
          <w:szCs w:val="20"/>
          <w:color w:val="auto"/>
        </w:rPr>
      </w:pPr>
    </w:p>
    <w:p>
      <w:pPr>
        <w:ind w:left="660" w:right="840" w:hanging="220"/>
        <w:spacing w:after="0" w:line="24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1,374,275 shares immediately after the completion of this offering, assuming no exercise by the underwriters of their option to purchase additional shares; or</w:t>
      </w:r>
    </w:p>
    <w:p>
      <w:pPr>
        <w:spacing w:after="0" w:line="102" w:lineRule="exact"/>
        <w:rPr>
          <w:rFonts w:ascii="Arial" w:cs="Arial" w:eastAsia="Arial" w:hAnsi="Arial"/>
          <w:sz w:val="18"/>
          <w:szCs w:val="18"/>
          <w:color w:val="auto"/>
        </w:rPr>
      </w:pPr>
    </w:p>
    <w:p>
      <w:pPr>
        <w:ind w:left="660" w:right="320" w:hanging="220"/>
        <w:spacing w:after="0" w:line="24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After the completion of this offering, the holders of up to 109,132,406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“Description of capital stock—Registration rights” for a description of these registration rights.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statement</w:t>
      </w:r>
    </w:p>
    <w:p>
      <w:pPr>
        <w:spacing w:after="0" w:line="13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After the completion of this offering, we intend to file one or more registration statements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“Executive compensation —Employee benefit and stock plans” for a description of our equity compensation plans.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260"/>
        <w:spacing w:after="0" w:line="277" w:lineRule="auto"/>
        <w:rPr>
          <w:sz w:val="20"/>
          <w:szCs w:val="20"/>
          <w:color w:val="auto"/>
        </w:rPr>
      </w:pPr>
      <w:r>
        <w:rPr>
          <w:rFonts w:ascii="Arial" w:cs="Arial" w:eastAsia="Arial" w:hAnsi="Arial"/>
          <w:sz w:val="27"/>
          <w:szCs w:val="27"/>
          <w:b w:val="1"/>
          <w:bCs w:val="1"/>
          <w:color w:val="auto"/>
        </w:rPr>
        <w:t>Material U.S. federal income tax considerations for non-U.S. holders of our common stock</w:t>
      </w:r>
    </w:p>
    <w:p>
      <w:pPr>
        <w:spacing w:after="0" w:line="4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20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under U.S. federal gift and estate tax rules or under any applicable tax treaty. In addition, this discussion does not address tax considerations applicable to an investor’s particular circumstances or to investors that may be subject to special tax rules, including, without limitation:</w:t>
      </w:r>
    </w:p>
    <w:p>
      <w:pPr>
        <w:spacing w:after="0" w:line="108" w:lineRule="exact"/>
        <w:rPr>
          <w:sz w:val="20"/>
          <w:szCs w:val="20"/>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accounts, organizations, or governmental organizations;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760" w:right="220" w:hanging="320"/>
        <w:spacing w:after="0" w:line="246"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(except to the extent specifically set forth below);</w:t>
      </w:r>
    </w:p>
    <w:p>
      <w:pPr>
        <w:spacing w:after="0" w:line="117"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760" w:right="360" w:hanging="320"/>
        <w:spacing w:after="0" w:line="246"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such for U.S. federal income tax purposes), other pass-through entities, and investors therein;</w:t>
      </w:r>
    </w:p>
    <w:p>
      <w:pPr>
        <w:spacing w:after="0" w:line="102" w:lineRule="exact"/>
        <w:rPr>
          <w:rFonts w:ascii="Arial" w:cs="Arial" w:eastAsia="Arial" w:hAnsi="Arial"/>
          <w:sz w:val="18"/>
          <w:szCs w:val="18"/>
          <w:color w:val="auto"/>
        </w:rPr>
      </w:pPr>
    </w:p>
    <w:p>
      <w:pPr>
        <w:ind w:left="760" w:right="500" w:hanging="320"/>
        <w:spacing w:after="0" w:line="246"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760" w:right="300" w:hanging="320"/>
        <w:spacing w:after="0" w:line="246"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102" w:lineRule="exact"/>
        <w:rPr>
          <w:rFonts w:ascii="Arial" w:cs="Arial" w:eastAsia="Arial" w:hAnsi="Arial"/>
          <w:sz w:val="18"/>
          <w:szCs w:val="18"/>
          <w:color w:val="auto"/>
        </w:rPr>
      </w:pPr>
    </w:p>
    <w:p>
      <w:pPr>
        <w:ind w:left="760" w:right="40" w:hanging="320"/>
        <w:spacing w:after="0" w:line="246" w:lineRule="auto"/>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or other flow-through entity holds our common stock, the tax treatment of a partner in the partnership or owner of other such entity generally will depend on the status of the partner or owner and upon the activities of the partnership or other such entity. A partner in a partnership, or owner of other such entity, that will hold our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common stock should consult his, her, their, or its own tax advisor regarding the tax consequences of the ownership and disposition of our common stock through the partnership or other such entity, as applicable.</w:t>
      </w:r>
    </w:p>
    <w:p>
      <w:pPr>
        <w:spacing w:after="0" w:line="175"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Non-U.S. holder defined</w:t>
      </w:r>
    </w:p>
    <w:p>
      <w:pPr>
        <w:spacing w:after="0" w:line="130"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80" w:lineRule="exact"/>
        <w:rPr>
          <w:sz w:val="20"/>
          <w:szCs w:val="20"/>
          <w:color w:val="auto"/>
        </w:rPr>
      </w:pPr>
    </w:p>
    <w:p>
      <w:pPr>
        <w:ind w:left="760" w:hanging="320"/>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60" w:right="380" w:hanging="320"/>
        <w:spacing w:after="0" w:line="246" w:lineRule="auto"/>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02" w:lineRule="exact"/>
        <w:rPr>
          <w:rFonts w:ascii="Arial" w:cs="Arial" w:eastAsia="Arial" w:hAnsi="Arial"/>
          <w:sz w:val="18"/>
          <w:szCs w:val="18"/>
          <w:color w:val="auto"/>
        </w:rPr>
      </w:pPr>
    </w:p>
    <w:p>
      <w:pPr>
        <w:ind w:left="760" w:hanging="320"/>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760" w:right="220" w:hanging="320"/>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“United States person” within the meaning of the Code.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0"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As described in “Dividend policy,” we have never declared or paid cash dividends on our capital stock, and we do not anticipate paying any cash dividends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(determined separately with respect to each share of our common stock), but not below zero, and then will be treated as gain from the sale of stock as described below in “—Gain on disposition of common stock.”</w:t>
      </w:r>
    </w:p>
    <w:p>
      <w:pPr>
        <w:spacing w:after="0" w:line="2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Subject to the discussions below on effectively connected income and in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Under applicable Treasury Regulations, the applicable withholding agent may withhold up to 30% of the gross amount of the entire distribution even if the amount constituting a dividend, as described above, is less than the gross amount. In order to receive a reduced treaty rate, you must provide the applicable withholding agent with a properly executed IRS Form W-8BEN or W-8BEN-E or other appropriate version of IRS Form W-8 certifying qualification for the reduced rate. If you hold our common stock through a financial institution or other agent acting on your behalf, you generally will be required to provide appropriate documentation to the agent, which then may be required to provide certification to us or our paying agent, either directly or through other intermediaries. If you are eligible for a reduced rate of U.S. federal withholding tax pursuant to an income tax treaty, you may obtain a refund of any excess amounts withheld by timely filing an appropriate claim for refund with the IRS. You should consult your tax advisor regarding your entitlement to benefits under any applicable tax treaty.</w:t>
      </w:r>
    </w:p>
    <w:p>
      <w:pPr>
        <w:spacing w:after="0" w:line="204"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are attributable to a permanent establishment or fixed base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maintained by you in the United States) are generally exempt from the 30% U.S. federal withholding tax, subject to the discussions below in “—Backup withholding and information reporting” and “—Foreign Account Tax Compliance Act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and subject to an applicable income tax treaty providing otherwise. In addition, if you are a corporate non-U.S. holder, dividends you receive that are effectively connected with your conduct of a U.S. trade or business (and, if required by an applicable income tax treaty, are attributable to a permanent establishment or fixed base maintained by you in the United States)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common stock</w:t>
      </w:r>
    </w:p>
    <w:p>
      <w:pPr>
        <w:spacing w:after="0" w:line="13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Subject to the discussions in “—Backup withholding and information reporting” and “—Foreign Account Tax Compliance Act (FATCA),” you generally will not be required to pay U.S. federal income tax on any gain realized upon the sale or other disposition of our common stock unless:</w:t>
      </w:r>
    </w:p>
    <w:p>
      <w:pPr>
        <w:spacing w:after="0" w:line="108" w:lineRule="exact"/>
        <w:rPr>
          <w:sz w:val="20"/>
          <w:szCs w:val="20"/>
          <w:color w:val="auto"/>
        </w:rPr>
      </w:pPr>
    </w:p>
    <w:p>
      <w:pPr>
        <w:ind w:left="760" w:right="80" w:hanging="320"/>
        <w:spacing w:after="0" w:line="246"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or fixed base maintained by you in the United States);</w:t>
      </w:r>
    </w:p>
    <w:p>
      <w:pPr>
        <w:spacing w:after="0" w:line="102" w:lineRule="exact"/>
        <w:rPr>
          <w:rFonts w:ascii="Arial" w:cs="Arial" w:eastAsia="Arial" w:hAnsi="Arial"/>
          <w:sz w:val="18"/>
          <w:szCs w:val="18"/>
          <w:color w:val="auto"/>
        </w:rPr>
      </w:pPr>
    </w:p>
    <w:p>
      <w:pPr>
        <w:ind w:left="760" w:right="40" w:hanging="320"/>
        <w:spacing w:after="0" w:line="246" w:lineRule="auto"/>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02" w:lineRule="exact"/>
        <w:rPr>
          <w:rFonts w:ascii="Arial" w:cs="Arial" w:eastAsia="Arial" w:hAnsi="Arial"/>
          <w:sz w:val="18"/>
          <w:szCs w:val="18"/>
          <w:color w:val="auto"/>
        </w:rPr>
      </w:pPr>
    </w:p>
    <w:p>
      <w:pPr>
        <w:ind w:left="760" w:right="400" w:hanging="320"/>
        <w:spacing w:after="0" w:line="261" w:lineRule="auto"/>
        <w:tabs>
          <w:tab w:leader="none" w:pos="7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our common stock or your holding period for our common stock, or the applicable testing period.</w:t>
      </w:r>
    </w:p>
    <w:p>
      <w:pPr>
        <w:spacing w:after="0" w:line="186"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or other disposition of our common stock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a rate of 30% (or such lower rate specified by an applicable income tax treaty) on the gain derived from the sale or other disposition of our common stock,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0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However, even if we are or become a USRPHC, our common stock will not constitute a United States real property interest if our common stock is regularly traded on an established securities market and you hold no more than 5% of our outstanding common stock, directly, indirectly or constructively, at all times during the applicable testing period. If we are a USRPHC at any time within the applicable testing period and either our common stock is not regularly traded on an established securities market or you hold more than 5% of our outstanding common stock, directly, indirectly or constructively, at any time during the applicable testing period, you will generally be taxed on any gain realized upon the sale or other disposition of our common stock in the same manner as gain that is effectively connected with the conduct of a</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U.S. trade or business, except that the branch profits tax generally will not apply. If we are a USRPHC at any time within the applicable testing period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30"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Generally, we or the applicable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2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Payments of dividends on or of proceeds from the disposition of our common stock made to you may also be subject to backup withholding at a current rate of 24% and additional information reporting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2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 Tax Compliance Act (FATCA)</w:t>
      </w:r>
    </w:p>
    <w:p>
      <w:pPr>
        <w:spacing w:after="0" w:line="13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Subject to the following paragraph, the Foreign Account Tax Compliance Act, Treasury Regulations issued thereunder and official IRS guidance with respect thereto, or, collectively, FATCA, generally impose a U.S. federal withholding tax of 30% on dividends on and the gross proceeds from a sale or other disposition of our common stock paid to a “foreign financial institution” (as specially defined under these rules), unless otherwise provided by the Treasury Secretary or such institution (i) enters into an agreement with the U.S. government to, among other things,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(ii) otherwise establishes an exemption. Subject to the following paragraph, FATCA also generally imposes a U.S. federal withholding tax of 30% on dividends on and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213" w:lineRule="exact"/>
        <w:rPr>
          <w:sz w:val="20"/>
          <w:szCs w:val="20"/>
          <w:color w:val="auto"/>
        </w:rPr>
      </w:pPr>
    </w:p>
    <w:p>
      <w:pPr>
        <w:ind w:left="120" w:right="580"/>
        <w:spacing w:after="0" w:line="238" w:lineRule="auto"/>
        <w:rPr>
          <w:sz w:val="20"/>
          <w:szCs w:val="20"/>
          <w:color w:val="auto"/>
        </w:rPr>
      </w:pPr>
      <w:r>
        <w:rPr>
          <w:rFonts w:ascii="Arial" w:cs="Arial" w:eastAsia="Arial" w:hAnsi="Arial"/>
          <w:sz w:val="18"/>
          <w:szCs w:val="18"/>
          <w:color w:val="auto"/>
        </w:rPr>
        <w:t>The U.S. Treasury Department has issued proposed Treasury Regulations that, if finalized in their present form, would eliminate withholding under FATCA with respect to payments of gross proceeds from a sale or other disposition of our common stock. In the preamble to such proposed Treasury Regulations, the Treasury Secretary stated that taxpayers may generally rely on the proposed Treasury Regulations until final regulations are issued.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considerations of purchasing, holding and disposing of our common stock, including the consequences of any proposed change in applicable laws.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Underwriters</w:t>
      </w:r>
    </w:p>
    <w:p>
      <w:pPr>
        <w:spacing w:after="0" w:line="143"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severally, the number of shares indicated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r>
      <w:tr>
        <w:trPr>
          <w:trHeight w:val="162"/>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of shares</w:t>
            </w:r>
          </w:p>
        </w:tc>
      </w:tr>
      <w:tr>
        <w:trPr>
          <w:trHeight w:val="20"/>
        </w:trPr>
        <w:tc>
          <w:tcPr>
            <w:tcW w:w="380" w:type="dxa"/>
            <w:vAlign w:val="bottom"/>
            <w:tcBorders>
              <w:top w:val="single" w:sz="8" w:color="auto"/>
              <w:bottom w:val="single" w:sz="8" w:color="DDDDDD"/>
            </w:tcBorders>
          </w:tcPr>
          <w:p>
            <w:pPr>
              <w:spacing w:after="0" w:line="20" w:lineRule="exact"/>
              <w:rPr>
                <w:sz w:val="1"/>
                <w:szCs w:val="1"/>
                <w:color w:val="auto"/>
              </w:rPr>
            </w:pPr>
          </w:p>
        </w:tc>
        <w:tc>
          <w:tcPr>
            <w:tcW w:w="8520" w:type="dxa"/>
            <w:vAlign w:val="bottom"/>
            <w:tcBorders>
              <w:bottom w:val="single" w:sz="8" w:color="DDDDDD"/>
            </w:tcBorders>
          </w:tcPr>
          <w:p>
            <w:pPr>
              <w:spacing w:after="0" w:line="20" w:lineRule="exact"/>
              <w:rPr>
                <w:sz w:val="1"/>
                <w:szCs w:val="1"/>
                <w:color w:val="auto"/>
              </w:rPr>
            </w:pPr>
          </w:p>
        </w:tc>
        <w:tc>
          <w:tcPr>
            <w:tcW w:w="1200" w:type="dxa"/>
            <w:vAlign w:val="bottom"/>
            <w:tcBorders>
              <w:bottom w:val="single" w:sz="8" w:color="DDDDDD"/>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r>
      <w:tr>
        <w:trPr>
          <w:trHeight w:val="196"/>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Morgan Stanley &amp; Co. LLC</w:t>
            </w:r>
          </w:p>
        </w:tc>
        <w:tc>
          <w:tcPr>
            <w:tcW w:w="20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4,524,000</w:t>
            </w:r>
          </w:p>
        </w:tc>
        <w:tc>
          <w:tcPr>
            <w:tcW w:w="60" w:type="dxa"/>
            <w:vAlign w:val="bottom"/>
            <w:shd w:val="clear" w:color="auto" w:fill="DDDDDD"/>
          </w:tcPr>
          <w:p>
            <w:pPr>
              <w:spacing w:after="0"/>
              <w:rPr>
                <w:sz w:val="17"/>
                <w:szCs w:val="17"/>
                <w:color w:val="auto"/>
              </w:rPr>
            </w:pPr>
          </w:p>
        </w:tc>
      </w:tr>
      <w:tr>
        <w:trPr>
          <w:trHeight w:val="162"/>
        </w:trPr>
        <w:tc>
          <w:tcPr>
            <w:tcW w:w="8900" w:type="dxa"/>
            <w:vAlign w:val="bottom"/>
            <w:gridSpan w:val="2"/>
          </w:tcPr>
          <w:p>
            <w:pPr>
              <w:spacing w:after="0"/>
              <w:rPr>
                <w:sz w:val="20"/>
                <w:szCs w:val="20"/>
                <w:color w:val="auto"/>
              </w:rPr>
            </w:pPr>
            <w:r>
              <w:rPr>
                <w:rFonts w:ascii="Arial" w:cs="Arial" w:eastAsia="Arial" w:hAnsi="Arial"/>
                <w:sz w:val="14"/>
                <w:szCs w:val="14"/>
                <w:color w:val="auto"/>
              </w:rPr>
              <w:t>J.P. Morgan Securities LLC</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4,205,000</w:t>
            </w:r>
          </w:p>
        </w:tc>
        <w:tc>
          <w:tcPr>
            <w:tcW w:w="60" w:type="dxa"/>
            <w:vAlign w:val="bottom"/>
          </w:tcPr>
          <w:p>
            <w:pPr>
              <w:spacing w:after="0"/>
              <w:rPr>
                <w:sz w:val="14"/>
                <w:szCs w:val="14"/>
                <w:color w:val="auto"/>
              </w:rPr>
            </w:pPr>
          </w:p>
        </w:tc>
      </w:tr>
      <w:tr>
        <w:trPr>
          <w:trHeight w:val="216"/>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Citigroup Global Markets Inc.</w:t>
            </w:r>
          </w:p>
        </w:tc>
        <w:tc>
          <w:tcPr>
            <w:tcW w:w="20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1,450,000</w:t>
            </w:r>
          </w:p>
        </w:tc>
        <w:tc>
          <w:tcPr>
            <w:tcW w:w="60" w:type="dxa"/>
            <w:vAlign w:val="bottom"/>
            <w:shd w:val="clear" w:color="auto" w:fill="DDDDDD"/>
          </w:tcPr>
          <w:p>
            <w:pPr>
              <w:spacing w:after="0"/>
              <w:rPr>
                <w:sz w:val="18"/>
                <w:szCs w:val="18"/>
                <w:color w:val="auto"/>
              </w:rPr>
            </w:pPr>
          </w:p>
        </w:tc>
      </w:tr>
      <w:tr>
        <w:trPr>
          <w:trHeight w:val="175"/>
        </w:trPr>
        <w:tc>
          <w:tcPr>
            <w:tcW w:w="890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1,189,000</w:t>
            </w:r>
          </w:p>
        </w:tc>
        <w:tc>
          <w:tcPr>
            <w:tcW w:w="60" w:type="dxa"/>
            <w:vAlign w:val="bottom"/>
          </w:tcPr>
          <w:p>
            <w:pPr>
              <w:spacing w:after="0"/>
              <w:rPr>
                <w:sz w:val="15"/>
                <w:szCs w:val="15"/>
                <w:color w:val="auto"/>
              </w:rPr>
            </w:pPr>
          </w:p>
        </w:tc>
      </w:tr>
      <w:tr>
        <w:trPr>
          <w:trHeight w:val="216"/>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Jefferies LLC</w:t>
            </w:r>
          </w:p>
        </w:tc>
        <w:tc>
          <w:tcPr>
            <w:tcW w:w="20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1,015,000</w:t>
            </w:r>
          </w:p>
        </w:tc>
        <w:tc>
          <w:tcPr>
            <w:tcW w:w="60" w:type="dxa"/>
            <w:vAlign w:val="bottom"/>
            <w:shd w:val="clear" w:color="auto" w:fill="DDDDDD"/>
          </w:tcPr>
          <w:p>
            <w:pPr>
              <w:spacing w:after="0"/>
              <w:rPr>
                <w:sz w:val="18"/>
                <w:szCs w:val="18"/>
                <w:color w:val="auto"/>
              </w:rPr>
            </w:pPr>
          </w:p>
        </w:tc>
      </w:tr>
      <w:tr>
        <w:trPr>
          <w:trHeight w:val="162"/>
        </w:trPr>
        <w:tc>
          <w:tcPr>
            <w:tcW w:w="8900" w:type="dxa"/>
            <w:vAlign w:val="bottom"/>
            <w:gridSpan w:val="2"/>
          </w:tcPr>
          <w:p>
            <w:pPr>
              <w:spacing w:after="0"/>
              <w:rPr>
                <w:sz w:val="20"/>
                <w:szCs w:val="20"/>
                <w:color w:val="auto"/>
              </w:rPr>
            </w:pPr>
            <w:r>
              <w:rPr>
                <w:rFonts w:ascii="Arial" w:cs="Arial" w:eastAsia="Arial" w:hAnsi="Arial"/>
                <w:sz w:val="14"/>
                <w:szCs w:val="14"/>
                <w:color w:val="auto"/>
              </w:rPr>
              <w:t>Truist Securities, Inc.</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507,500</w:t>
            </w:r>
          </w:p>
        </w:tc>
        <w:tc>
          <w:tcPr>
            <w:tcW w:w="60" w:type="dxa"/>
            <w:vAlign w:val="bottom"/>
          </w:tcPr>
          <w:p>
            <w:pPr>
              <w:spacing w:after="0"/>
              <w:rPr>
                <w:sz w:val="14"/>
                <w:szCs w:val="14"/>
                <w:color w:val="auto"/>
              </w:rPr>
            </w:pPr>
          </w:p>
        </w:tc>
      </w:tr>
      <w:tr>
        <w:trPr>
          <w:trHeight w:val="216"/>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KeyBanc Capital Markets Inc.</w:t>
            </w:r>
          </w:p>
        </w:tc>
        <w:tc>
          <w:tcPr>
            <w:tcW w:w="20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333,500</w:t>
            </w:r>
          </w:p>
        </w:tc>
        <w:tc>
          <w:tcPr>
            <w:tcW w:w="60" w:type="dxa"/>
            <w:vAlign w:val="bottom"/>
            <w:shd w:val="clear" w:color="auto" w:fill="DDDDDD"/>
          </w:tcPr>
          <w:p>
            <w:pPr>
              <w:spacing w:after="0"/>
              <w:rPr>
                <w:sz w:val="18"/>
                <w:szCs w:val="18"/>
                <w:color w:val="auto"/>
              </w:rPr>
            </w:pPr>
          </w:p>
        </w:tc>
      </w:tr>
      <w:tr>
        <w:trPr>
          <w:trHeight w:val="162"/>
        </w:trPr>
        <w:tc>
          <w:tcPr>
            <w:tcW w:w="8900" w:type="dxa"/>
            <w:vAlign w:val="bottom"/>
            <w:gridSpan w:val="2"/>
          </w:tcPr>
          <w:p>
            <w:pPr>
              <w:spacing w:after="0"/>
              <w:rPr>
                <w:sz w:val="20"/>
                <w:szCs w:val="20"/>
                <w:color w:val="auto"/>
              </w:rPr>
            </w:pPr>
            <w:r>
              <w:rPr>
                <w:rFonts w:ascii="Arial" w:cs="Arial" w:eastAsia="Arial" w:hAnsi="Arial"/>
                <w:sz w:val="14"/>
                <w:szCs w:val="14"/>
                <w:color w:val="auto"/>
              </w:rPr>
              <w:t>Piper Sandler &amp; Co.</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333,500</w:t>
            </w:r>
          </w:p>
        </w:tc>
        <w:tc>
          <w:tcPr>
            <w:tcW w:w="60" w:type="dxa"/>
            <w:vAlign w:val="bottom"/>
          </w:tcPr>
          <w:p>
            <w:pPr>
              <w:spacing w:after="0"/>
              <w:rPr>
                <w:sz w:val="14"/>
                <w:szCs w:val="14"/>
                <w:color w:val="auto"/>
              </w:rPr>
            </w:pPr>
          </w:p>
        </w:tc>
      </w:tr>
      <w:tr>
        <w:trPr>
          <w:trHeight w:val="216"/>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William Blair &amp; Company, L.L.C.</w:t>
            </w:r>
          </w:p>
        </w:tc>
        <w:tc>
          <w:tcPr>
            <w:tcW w:w="20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333,500</w:t>
            </w:r>
          </w:p>
        </w:tc>
        <w:tc>
          <w:tcPr>
            <w:tcW w:w="60" w:type="dxa"/>
            <w:vAlign w:val="bottom"/>
            <w:shd w:val="clear" w:color="auto" w:fill="DDDDDD"/>
          </w:tcPr>
          <w:p>
            <w:pPr>
              <w:spacing w:after="0"/>
              <w:rPr>
                <w:sz w:val="18"/>
                <w:szCs w:val="18"/>
                <w:color w:val="auto"/>
              </w:rPr>
            </w:pPr>
          </w:p>
        </w:tc>
      </w:tr>
      <w:tr>
        <w:trPr>
          <w:trHeight w:val="162"/>
        </w:trPr>
        <w:tc>
          <w:tcPr>
            <w:tcW w:w="8900" w:type="dxa"/>
            <w:vAlign w:val="bottom"/>
            <w:gridSpan w:val="2"/>
          </w:tcPr>
          <w:p>
            <w:pPr>
              <w:spacing w:after="0"/>
              <w:rPr>
                <w:sz w:val="20"/>
                <w:szCs w:val="20"/>
                <w:color w:val="auto"/>
              </w:rPr>
            </w:pPr>
            <w:r>
              <w:rPr>
                <w:rFonts w:ascii="Arial" w:cs="Arial" w:eastAsia="Arial" w:hAnsi="Arial"/>
                <w:sz w:val="14"/>
                <w:szCs w:val="14"/>
                <w:color w:val="auto"/>
              </w:rPr>
              <w:t>Robert W. Baird &amp; Co. Incorporated</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304,500</w:t>
            </w:r>
          </w:p>
        </w:tc>
        <w:tc>
          <w:tcPr>
            <w:tcW w:w="60" w:type="dxa"/>
            <w:vAlign w:val="bottom"/>
          </w:tcPr>
          <w:p>
            <w:pPr>
              <w:spacing w:after="0"/>
              <w:rPr>
                <w:sz w:val="14"/>
                <w:szCs w:val="14"/>
                <w:color w:val="auto"/>
              </w:rPr>
            </w:pPr>
          </w:p>
        </w:tc>
      </w:tr>
      <w:tr>
        <w:trPr>
          <w:trHeight w:val="210"/>
        </w:trPr>
        <w:tc>
          <w:tcPr>
            <w:tcW w:w="890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Needham &amp; Company, LLC</w:t>
            </w:r>
          </w:p>
        </w:tc>
        <w:tc>
          <w:tcPr>
            <w:tcW w:w="1200" w:type="dxa"/>
            <w:vAlign w:val="bottom"/>
            <w:shd w:val="clear" w:color="auto" w:fill="DDDDDD"/>
          </w:tcPr>
          <w:p>
            <w:pPr>
              <w:spacing w:after="0"/>
              <w:rPr>
                <w:sz w:val="18"/>
                <w:szCs w:val="18"/>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304,500</w:t>
            </w:r>
          </w:p>
        </w:tc>
        <w:tc>
          <w:tcPr>
            <w:tcW w:w="60" w:type="dxa"/>
            <w:vAlign w:val="bottom"/>
            <w:shd w:val="clear" w:color="auto" w:fill="DDDDDD"/>
          </w:tcPr>
          <w:p>
            <w:pPr>
              <w:spacing w:after="0"/>
              <w:rPr>
                <w:sz w:val="18"/>
                <w:szCs w:val="18"/>
                <w:color w:val="auto"/>
              </w:rPr>
            </w:pPr>
          </w:p>
        </w:tc>
      </w:tr>
      <w:tr>
        <w:trPr>
          <w:trHeight w:val="175"/>
        </w:trPr>
        <w:tc>
          <w:tcPr>
            <w:tcW w:w="890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14,500,000</w:t>
            </w:r>
          </w:p>
        </w:tc>
        <w:tc>
          <w:tcPr>
            <w:tcW w:w="6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205"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including Drexel Hamilton, LLC and Guzman &amp; Company, at the public offering price less a concession not to exceed $0.957 per share.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20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2,175,000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0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Prior to the date hereof, certain funds and accounts managed by entities affiliated with Caledonia US, LP and Caledonia (Private) Investments Pty Limited, or collectively, the cornerstone investor, have indicated an interest in purchasing an aggregate of up to $75.0 million in shares of our common stock offered in this offering at the initial public offering price. Because this indication of interest is not a binding agreement or commitment to purchase, the cornerstone investor could determine to purchase more, less, or no shares in this offering or the underwriters could determine to sell more, less, or no shares to the cornerstone investor. The underwriters will receive the same discount on any shares of common stock purchased by the cornerstone investor as they will from any other shares sold to the public in this offering.</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2,175,000 shares of common stock.</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48"/>
              <w:spacing w:after="0" w:line="143" w:lineRule="exact"/>
              <w:rPr>
                <w:sz w:val="20"/>
                <w:szCs w:val="20"/>
                <w:color w:val="auto"/>
              </w:rPr>
            </w:pPr>
            <w:r>
              <w:rPr>
                <w:rFonts w:ascii="Arial" w:cs="Arial" w:eastAsia="Arial" w:hAnsi="Arial"/>
                <w:sz w:val="14"/>
                <w:szCs w:val="14"/>
                <w:b w:val="1"/>
                <w:bCs w:val="1"/>
                <w:color w:val="auto"/>
              </w:rPr>
              <w:t>Full</w:t>
            </w:r>
          </w:p>
        </w:tc>
        <w:tc>
          <w:tcPr>
            <w:tcW w:w="40" w:type="dxa"/>
            <w:vAlign w:val="bottom"/>
          </w:tcPr>
          <w:p>
            <w:pPr>
              <w:spacing w:after="0"/>
              <w:rPr>
                <w:sz w:val="12"/>
                <w:szCs w:val="12"/>
                <w:color w:val="auto"/>
              </w:rPr>
            </w:pPr>
          </w:p>
        </w:tc>
      </w:tr>
      <w:tr>
        <w:trPr>
          <w:trHeight w:val="175"/>
        </w:trPr>
        <w:tc>
          <w:tcPr>
            <w:tcW w:w="7780" w:type="dxa"/>
            <w:vAlign w:val="bottom"/>
            <w:tcBorders>
              <w:bottom w:val="single" w:sz="8" w:color="DDDDDD"/>
            </w:tcBorders>
          </w:tcPr>
          <w:p>
            <w:pPr>
              <w:spacing w:after="0"/>
              <w:rPr>
                <w:sz w:val="15"/>
                <w:szCs w:val="15"/>
                <w:color w:val="auto"/>
              </w:rPr>
            </w:pPr>
          </w:p>
        </w:tc>
        <w:tc>
          <w:tcPr>
            <w:tcW w:w="220" w:type="dxa"/>
            <w:vAlign w:val="bottom"/>
            <w:tcBorders>
              <w:bottom w:val="single" w:sz="8" w:color="DDDDDD"/>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 Share</w:t>
            </w:r>
          </w:p>
        </w:tc>
        <w:tc>
          <w:tcPr>
            <w:tcW w:w="26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Exercise</w:t>
            </w:r>
          </w:p>
        </w:tc>
        <w:tc>
          <w:tcPr>
            <w:tcW w:w="14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Exercise</w:t>
            </w:r>
          </w:p>
        </w:tc>
        <w:tc>
          <w:tcPr>
            <w:tcW w:w="40" w:type="dxa"/>
            <w:vAlign w:val="bottom"/>
            <w:tcBorders>
              <w:bottom w:val="single" w:sz="8" w:color="DDDDDD"/>
            </w:tcBorders>
          </w:tcPr>
          <w:p>
            <w:pPr>
              <w:spacing w:after="0"/>
              <w:rPr>
                <w:sz w:val="15"/>
                <w:szCs w:val="15"/>
                <w:color w:val="auto"/>
              </w:rPr>
            </w:pPr>
          </w:p>
        </w:tc>
      </w:tr>
      <w:tr>
        <w:trPr>
          <w:trHeight w:val="196"/>
        </w:trPr>
        <w:tc>
          <w:tcPr>
            <w:tcW w:w="7780" w:type="dxa"/>
            <w:vAlign w:val="bottom"/>
            <w:shd w:val="clear" w:color="auto" w:fill="DDDDDD"/>
          </w:tcPr>
          <w:p>
            <w:pPr>
              <w:spacing w:after="0"/>
              <w:rPr>
                <w:sz w:val="20"/>
                <w:szCs w:val="20"/>
                <w:color w:val="auto"/>
              </w:rPr>
            </w:pPr>
            <w:r>
              <w:rPr>
                <w:rFonts w:ascii="Arial" w:cs="Arial" w:eastAsia="Arial" w:hAnsi="Arial"/>
                <w:sz w:val="14"/>
                <w:szCs w:val="14"/>
                <w:color w:val="auto"/>
              </w:rPr>
              <w:t>Public offering price</w:t>
            </w:r>
          </w:p>
        </w:tc>
        <w:tc>
          <w:tcPr>
            <w:tcW w:w="380" w:type="dxa"/>
            <w:vAlign w:val="bottom"/>
            <w:gridSpan w:val="2"/>
            <w:shd w:val="clear" w:color="auto" w:fill="DDDDDD"/>
          </w:tcPr>
          <w:p>
            <w:pPr>
              <w:ind w:left="220"/>
              <w:spacing w:after="0"/>
              <w:rPr>
                <w:sz w:val="20"/>
                <w:szCs w:val="20"/>
                <w:color w:val="auto"/>
              </w:rPr>
            </w:pPr>
            <w:r>
              <w:rPr>
                <w:rFonts w:ascii="Arial" w:cs="Arial" w:eastAsia="Arial" w:hAnsi="Arial"/>
                <w:sz w:val="14"/>
                <w:szCs w:val="14"/>
                <w:color w:val="auto"/>
                <w:highlight w:val="lightGray"/>
              </w:rPr>
              <w:t>$</w:t>
            </w:r>
          </w:p>
        </w:tc>
        <w:tc>
          <w:tcPr>
            <w:tcW w:w="7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highlight w:val="lightGray"/>
              </w:rPr>
              <w:t>29.000</w:t>
            </w:r>
          </w:p>
        </w:tc>
        <w:tc>
          <w:tcPr>
            <w:tcW w:w="80" w:type="dxa"/>
            <w:vAlign w:val="bottom"/>
            <w:shd w:val="clear" w:color="auto" w:fill="DDDDDD"/>
          </w:tcPr>
          <w:p>
            <w:pPr>
              <w:jc w:val="right"/>
              <w:spacing w:after="0"/>
              <w:rPr>
                <w:sz w:val="20"/>
                <w:szCs w:val="20"/>
                <w:color w:val="auto"/>
              </w:rPr>
            </w:pPr>
            <w:r>
              <w:rPr>
                <w:rFonts w:ascii="Arial" w:cs="Arial" w:eastAsia="Arial" w:hAnsi="Arial"/>
                <w:sz w:val="14"/>
                <w:szCs w:val="14"/>
                <w:color w:val="auto"/>
                <w:highlight w:val="lightGray"/>
                <w:w w:val="76"/>
              </w:rPr>
              <w:t>$</w:t>
            </w: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highlight w:val="lightGray"/>
              </w:rPr>
              <w:t>420,500,000</w:t>
            </w:r>
          </w:p>
        </w:tc>
        <w:tc>
          <w:tcPr>
            <w:tcW w:w="20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highlight w:val="lightGray"/>
              </w:rPr>
              <w:t>$</w:t>
            </w:r>
          </w:p>
        </w:tc>
        <w:tc>
          <w:tcPr>
            <w:tcW w:w="86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highlight w:val="lightGray"/>
              </w:rPr>
              <w:t>483,575,000</w:t>
            </w:r>
          </w:p>
        </w:tc>
      </w:tr>
      <w:tr>
        <w:trPr>
          <w:trHeight w:val="210"/>
        </w:trPr>
        <w:tc>
          <w:tcPr>
            <w:tcW w:w="7780" w:type="dxa"/>
            <w:vAlign w:val="bottom"/>
          </w:tcPr>
          <w:p>
            <w:pPr>
              <w:spacing w:after="0"/>
              <w:rPr>
                <w:sz w:val="20"/>
                <w:szCs w:val="20"/>
                <w:color w:val="auto"/>
              </w:rPr>
            </w:pPr>
            <w:r>
              <w:rPr>
                <w:rFonts w:ascii="Arial" w:cs="Arial" w:eastAsia="Arial" w:hAnsi="Arial"/>
                <w:sz w:val="14"/>
                <w:szCs w:val="14"/>
                <w:color w:val="auto"/>
              </w:rPr>
              <w:t>Underwriting discounts and commissions</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1.595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23,127,500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26,596,625</w:t>
            </w:r>
          </w:p>
        </w:tc>
      </w:tr>
      <w:tr>
        <w:trPr>
          <w:trHeight w:val="195"/>
        </w:trPr>
        <w:tc>
          <w:tcPr>
            <w:tcW w:w="7780" w:type="dxa"/>
            <w:vAlign w:val="bottom"/>
            <w:shd w:val="clear" w:color="auto" w:fill="DDDDDD"/>
          </w:tcPr>
          <w:p>
            <w:pPr>
              <w:spacing w:after="0"/>
              <w:rPr>
                <w:sz w:val="20"/>
                <w:szCs w:val="20"/>
                <w:color w:val="auto"/>
              </w:rPr>
            </w:pPr>
            <w:r>
              <w:rPr>
                <w:rFonts w:ascii="Arial" w:cs="Arial" w:eastAsia="Arial" w:hAnsi="Arial"/>
                <w:sz w:val="14"/>
                <w:szCs w:val="14"/>
                <w:color w:val="auto"/>
              </w:rPr>
              <w:t>Proceeds, before expenses, to us</w:t>
            </w:r>
          </w:p>
        </w:tc>
        <w:tc>
          <w:tcPr>
            <w:tcW w:w="380" w:type="dxa"/>
            <w:vAlign w:val="bottom"/>
            <w:gridSpan w:val="2"/>
            <w:shd w:val="clear" w:color="auto" w:fill="DDDDDD"/>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27.405</w:t>
            </w:r>
          </w:p>
        </w:tc>
        <w:tc>
          <w:tcPr>
            <w:tcW w:w="8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397,372,500</w:t>
            </w:r>
          </w:p>
        </w:tc>
        <w:tc>
          <w:tcPr>
            <w:tcW w:w="20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456,978,375</w:t>
            </w:r>
          </w:p>
        </w:tc>
      </w:tr>
    </w:tbl>
    <w:p>
      <w:pPr>
        <w:spacing w:after="0" w:line="21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$6.2 million. We have agreed to reimburse the underwriters for expenses relating to clearance of this offering with the Financial Industry Regulatory Authority, Inc. up to $35,000.</w:t>
      </w:r>
    </w:p>
    <w:p>
      <w:pPr>
        <w:spacing w:after="0" w:line="20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has been approved for listing on the Nasdaq Global Select Market under the trading symbol “UDMY”.</w:t>
      </w:r>
    </w:p>
    <w:p>
      <w:pPr>
        <w:spacing w:after="0" w:line="212"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In connection with this offering, we and all directors and officers and the holders of substantially all of our outstanding equity securities have agreed, subject to certain exceptions, that, without the prior written consent of Morgan Stanley &amp; Co. LLC on behalf of the underwriters, we and they will not, and will not publicly disclose an intention to, during the period ending 180 days after the date of this prospectus, or the restricted period:</w:t>
      </w:r>
    </w:p>
    <w:p>
      <w:pPr>
        <w:spacing w:after="0" w:line="110" w:lineRule="exact"/>
        <w:rPr>
          <w:sz w:val="20"/>
          <w:szCs w:val="20"/>
          <w:color w:val="auto"/>
        </w:rPr>
      </w:pPr>
    </w:p>
    <w:p>
      <w:pPr>
        <w:ind w:left="760" w:right="40" w:hanging="320"/>
        <w:spacing w:after="0" w:line="238"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make any short sale, or otherwise transfer or dispose of, directly or indirectly, any shares of common stock or any securities convertible into or exercisable or exchangeable (directly or indirectly) for, or that represent the right to receive, shares of common stock, which we refer to as other securities;</w:t>
      </w:r>
    </w:p>
    <w:p>
      <w:pPr>
        <w:spacing w:after="0" w:line="110" w:lineRule="exact"/>
        <w:rPr>
          <w:rFonts w:ascii="Arial" w:cs="Arial" w:eastAsia="Arial" w:hAnsi="Arial"/>
          <w:sz w:val="18"/>
          <w:szCs w:val="18"/>
          <w:color w:val="auto"/>
        </w:rPr>
      </w:pPr>
    </w:p>
    <w:p>
      <w:pPr>
        <w:ind w:left="760" w:right="320" w:hanging="320"/>
        <w:spacing w:after="0" w:line="246"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102" w:lineRule="exact"/>
        <w:rPr>
          <w:rFonts w:ascii="Arial" w:cs="Arial" w:eastAsia="Arial" w:hAnsi="Arial"/>
          <w:sz w:val="18"/>
          <w:szCs w:val="18"/>
          <w:color w:val="auto"/>
        </w:rPr>
      </w:pPr>
    </w:p>
    <w:p>
      <w:pPr>
        <w:ind w:left="760" w:right="220" w:hanging="320"/>
        <w:spacing w:after="0" w:line="246"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enter into any swap, hedging transaction or other arrangement that transfers to another, in whole or in part, any of the economic consequences of ownership of the common stock,</w:t>
      </w:r>
    </w:p>
    <w:p>
      <w:pPr>
        <w:spacing w:after="0" w:line="19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whether any such transaction described above is to be settled by delivery of common stock or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shares of common stock or any other security. Each such person also agrees that the foregoing precludes such person from engaging in any hedging or other transaction designed or intended, or which could reasonably be expected to lead to or result in, a sale or disposition of any shares of common stock or other securities, even if any such sale or disposition transaction or transactions would be made or executed by or on behalf of someone other than such person.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described in the immediately preceding paragraph do not apply to transfers in the following transactions:</w:t>
      </w:r>
    </w:p>
    <w:p>
      <w:pPr>
        <w:spacing w:after="0" w:line="117" w:lineRule="exact"/>
        <w:rPr>
          <w:sz w:val="20"/>
          <w:szCs w:val="20"/>
          <w:color w:val="auto"/>
        </w:rPr>
      </w:pPr>
    </w:p>
    <w:p>
      <w:pPr>
        <w:ind w:left="760" w:hanging="320"/>
        <w:spacing w:after="0"/>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sale of shares to the underwriters; or</w:t>
      </w:r>
    </w:p>
    <w:p>
      <w:pPr>
        <w:spacing w:after="0" w:line="117" w:lineRule="exact"/>
        <w:rPr>
          <w:rFonts w:ascii="Arial" w:cs="Arial" w:eastAsia="Arial" w:hAnsi="Arial"/>
          <w:sz w:val="18"/>
          <w:szCs w:val="18"/>
          <w:color w:val="auto"/>
        </w:rPr>
      </w:pPr>
    </w:p>
    <w:p>
      <w:pPr>
        <w:ind w:left="760" w:right="60" w:hanging="320"/>
        <w:spacing w:after="0" w:line="238" w:lineRule="auto"/>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from the underwriters in this offering or in open market transactions after the completion of this offering, provided that no filing under the Exchange Act shall be required or shall be voluntarily made during the restricted period in connection with subsequent sales of common stock or other securities acquired in such transactions; or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40" w:hanging="320"/>
        <w:spacing w:after="0" w:line="236"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(i) as a bona fide gift, (ii) for bona fide estate planning purposes, (iii) upon death or by will, testamentary document or intestate succession, (iv) to an immediate family member of the undersigned or to any trust for the direct or indirect benefit of the undersigned or the immediate family of the undersigned (for purposes of this subparagraph, “immediate family” shall mean any spouse or domestic partner and relationship by blood, current or former marriage or adoption, not more remote than first cousin), (v) if the undersigned is a trust, to any beneficiary of the undersigned or the estate of any such beneficiary, (vi) to a partnership, limited liability company or other entity of which the undersigned and the immediate family of the undersigned are the legal and beneficial owner of all of the outstanding equity securities or similar interests, or (vii) to a nominee or custodian of a person or entity to whom a disposition or transfer would be permissible under clauses (i) through (vi) above, provided that in the case of any transfer or disposition pursuant to this subparagraph, each transferee or donee shall sign and deliver a lock-up agreement to the underwriters and no filing under the Exchange Act, reporting a reduction in beneficial ownership of shares of common stock, shall be required or shall be voluntarily made during the restricted period (other than a filing on a Form 5); or</w:t>
      </w:r>
    </w:p>
    <w:p>
      <w:pPr>
        <w:spacing w:after="0" w:line="109" w:lineRule="exact"/>
        <w:rPr>
          <w:rFonts w:ascii="Arial" w:cs="Arial" w:eastAsia="Arial" w:hAnsi="Arial"/>
          <w:sz w:val="18"/>
          <w:szCs w:val="18"/>
          <w:color w:val="auto"/>
        </w:rPr>
      </w:pPr>
    </w:p>
    <w:p>
      <w:pPr>
        <w:ind w:left="760" w:right="100" w:hanging="320"/>
        <w:spacing w:after="0" w:line="238"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distributions of shares of common stock or other securities without consideration to stockholders, current or former partners (general or limited), members, beneficiaries or other equity holders, or to the estates of any such stockholders, partners, beneficiaries or other equity holders, provided that each distributee shall sign and deliver a lock-up agreement to the underwriters and no filing under the Exchange Act, reporting a reduction in beneficial ownership of shares of common stock, shall be required or shall be voluntarily made during the restricted period; or</w:t>
      </w:r>
    </w:p>
    <w:p>
      <w:pPr>
        <w:spacing w:after="0" w:line="107" w:lineRule="exact"/>
        <w:rPr>
          <w:rFonts w:ascii="Arial" w:cs="Arial" w:eastAsia="Arial" w:hAnsi="Arial"/>
          <w:sz w:val="18"/>
          <w:szCs w:val="18"/>
          <w:color w:val="auto"/>
        </w:rPr>
      </w:pPr>
    </w:p>
    <w:p>
      <w:pPr>
        <w:ind w:left="760" w:right="80" w:hanging="320"/>
        <w:spacing w:after="0" w:line="237"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another corporation, member, manager, partnership, limited liability company, trust or other entity (or in each case its nominee or custodian) that is an affiliate, or to any investment fund or other entity controlling, controlled by, managing or managed by or under common control with the transferor or affiliates of the transferor (including, for the avoidance of doubt, where the transferor is a partnership, to its general partner or a successor partnership or fund, or any other funds managed by such partnership), provided that each affiliate entity shall sign and deliver a lock-up agreement to the underwriters and no filing under the Exchange Act, reporting a reduction in beneficial ownership of shares of common stock, shall be required or shall be voluntarily made during the restricted period; or</w:t>
      </w:r>
    </w:p>
    <w:p>
      <w:pPr>
        <w:spacing w:after="0" w:line="108" w:lineRule="exact"/>
        <w:rPr>
          <w:rFonts w:ascii="Arial" w:cs="Arial" w:eastAsia="Arial" w:hAnsi="Arial"/>
          <w:sz w:val="18"/>
          <w:szCs w:val="18"/>
          <w:color w:val="auto"/>
        </w:rPr>
      </w:pPr>
    </w:p>
    <w:p>
      <w:pPr>
        <w:ind w:left="760" w:right="100" w:hanging="320"/>
        <w:spacing w:after="0" w:line="257" w:lineRule="auto"/>
        <w:tabs>
          <w:tab w:leader="none" w:pos="7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transfer of common stock or other securities that occurs by operation of law pursuant to a qualified domestic order in connection with a divorce settlement or other court order, provided that no public announcement or filing under the Exchange Act, or any other public filing or disclosure, shall be made during the restricted period, unless such filing is required and clearly indicates in the footnotes thereto that the transfer is by operation of law, court order, or in connection with a divorce settlement; or</w:t>
      </w:r>
    </w:p>
    <w:p>
      <w:pPr>
        <w:spacing w:after="0" w:line="94" w:lineRule="exact"/>
        <w:rPr>
          <w:rFonts w:ascii="Arial" w:cs="Arial" w:eastAsia="Arial" w:hAnsi="Arial"/>
          <w:sz w:val="17"/>
          <w:szCs w:val="17"/>
          <w:color w:val="auto"/>
        </w:rPr>
      </w:pPr>
    </w:p>
    <w:p>
      <w:pPr>
        <w:ind w:left="760" w:right="140" w:hanging="320"/>
        <w:spacing w:after="0" w:line="236"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the receipt from us of shares of common stock or other securities upon the exercise of options or settlement of restricted stock units or other equity awards, or (ii) the transfer of shares of common stock or any securities convertible into common stock to us upon a vesting or settlement event of our restricted stock units or upon the exercise of options to purchase our securities on a “cashless” or “net exercise” basis to the extent permitted by the instruments representing such securities, options, or restricted stock units so long as such “cashless” exercise or “net exercise” is effected solely by the surrender of outstanding securities, options, or restricted stock units to us and our cancellation of all or a portion thereof to pay the exercise price and/or withholding tax and remittance obligations; provided (x) the shares of common stock received upon exercise or settlement of the security, option, or restricted stock unit are subject to the terms of the lock-up agreement, and (y) that in the case of either clause (i) or (ii), any filing under the Exchange Act shall clearly indicate in the footnotes thereto that (A) the filing relates to the circumstances described in clauses (i) or (ii), as the case may be, (B) no shares were sold by the reporting person and (C) in the case of clause (i), the shares of common stock received upon exercise or settlement of the option or restricted stock unit are subject to a lock-up agreement with the underwriters; provided, further, that no such filing under the Exchange Act shall be made on a voluntary basis during the restricted period; or</w:t>
      </w:r>
    </w:p>
    <w:p>
      <w:pPr>
        <w:spacing w:after="0" w:line="108" w:lineRule="exact"/>
        <w:rPr>
          <w:rFonts w:ascii="Arial" w:cs="Arial" w:eastAsia="Arial" w:hAnsi="Arial"/>
          <w:sz w:val="18"/>
          <w:szCs w:val="18"/>
          <w:color w:val="auto"/>
        </w:rPr>
      </w:pPr>
    </w:p>
    <w:p>
      <w:pPr>
        <w:ind w:left="760" w:right="200" w:hanging="320"/>
        <w:spacing w:after="0" w:line="246"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us in connection with any contractual arrangement that provides for the repurchase of common stock or other securities by us upon death, disability or termination of service, in each case, of such service provider;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provided that no public announcement or filing under the Exchange Act, or any other public filing or disclosure, shall be made during the restricted period, unless such filing is required and clearly indicates in the footnotes thereto the nature and conditions of such transfer; or</w:t>
      </w:r>
    </w:p>
    <w:p>
      <w:pPr>
        <w:spacing w:after="0" w:line="108" w:lineRule="exact"/>
        <w:rPr>
          <w:sz w:val="20"/>
          <w:szCs w:val="20"/>
          <w:color w:val="auto"/>
        </w:rPr>
      </w:pPr>
    </w:p>
    <w:p>
      <w:pPr>
        <w:ind w:left="760" w:right="120" w:hanging="320"/>
        <w:spacing w:after="0"/>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conversion of our outstanding preferred stock into shares of common stock in connection with the consummation of this offering, provided that any such shares of common stock received upon such conversion shall be subject to the terms of the lock-up agreement with the underwriters summarized herein; or</w:t>
      </w:r>
    </w:p>
    <w:p>
      <w:pPr>
        <w:spacing w:after="0" w:line="108" w:lineRule="exact"/>
        <w:rPr>
          <w:rFonts w:ascii="Arial" w:cs="Arial" w:eastAsia="Arial" w:hAnsi="Arial"/>
          <w:sz w:val="18"/>
          <w:szCs w:val="18"/>
          <w:color w:val="auto"/>
        </w:rPr>
      </w:pPr>
    </w:p>
    <w:p>
      <w:pPr>
        <w:ind w:left="760" w:right="60" w:hanging="320"/>
        <w:spacing w:after="0" w:line="237" w:lineRule="auto"/>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any of our shareholders, officers or directors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such shareholder, officer or director or us regarding the establishment of such plan, such announcement or filing shall include a statement to the effect that no transfer of common stock may be made under such plan during the restricted period; or</w:t>
      </w:r>
    </w:p>
    <w:p>
      <w:pPr>
        <w:spacing w:after="0" w:line="110" w:lineRule="exact"/>
        <w:rPr>
          <w:rFonts w:ascii="Arial" w:cs="Arial" w:eastAsia="Arial" w:hAnsi="Arial"/>
          <w:sz w:val="18"/>
          <w:szCs w:val="18"/>
          <w:color w:val="auto"/>
        </w:rPr>
      </w:pPr>
    </w:p>
    <w:p>
      <w:pPr>
        <w:ind w:left="760" w:right="80" w:hanging="320"/>
        <w:spacing w:after="0" w:line="238" w:lineRule="auto"/>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to us pursuant to arrangements under which we have the option to repurchase such shares of common stock or other securities or a right of first refusal with respect to such securities, provided that no filing under the Exchange Act, reporting a reduction in beneficial ownership of shares of common stock, shall be required or shall be voluntarily made during the restricted period; or</w:t>
      </w:r>
    </w:p>
    <w:p>
      <w:pPr>
        <w:spacing w:after="0" w:line="110" w:lineRule="exact"/>
        <w:rPr>
          <w:rFonts w:ascii="Arial" w:cs="Arial" w:eastAsia="Arial" w:hAnsi="Arial"/>
          <w:sz w:val="18"/>
          <w:szCs w:val="18"/>
          <w:color w:val="auto"/>
        </w:rPr>
      </w:pPr>
    </w:p>
    <w:p>
      <w:pPr>
        <w:ind w:left="760" w:right="40" w:hanging="320"/>
        <w:spacing w:after="0" w:line="236" w:lineRule="auto"/>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issuance by us of shares of common stock or other securities in connection with any merger or acquisition of securities, businesses, property or other assets or strategic investment (including any joint venture, strategic alliance, partnership, equipment leasing arrangement or debt financing); provided, that, the aggregate amounts of shares of common stock or other securities that we may sell or issue or agree to sell or issue pursuant to this subparagraph shall not, without prior written notice from us to the representatives, exceed 5% of the total number of shares of common stock issued and outstanding immediately following the consummation of this offering on a fully-diluted basis, and provided, further, that, in the case of this subparagraph, the recipient of any such shares of common stock or other securities shall enter into a lock-up agreement for the remainder of the restricted period, subject to the terms and conditions summarized herein; or</w:t>
      </w:r>
    </w:p>
    <w:p>
      <w:pPr>
        <w:spacing w:after="0" w:line="113" w:lineRule="exact"/>
        <w:rPr>
          <w:rFonts w:ascii="Arial" w:cs="Arial" w:eastAsia="Arial" w:hAnsi="Arial"/>
          <w:sz w:val="18"/>
          <w:szCs w:val="18"/>
          <w:color w:val="auto"/>
        </w:rPr>
      </w:pPr>
    </w:p>
    <w:p>
      <w:pPr>
        <w:ind w:left="760" w:right="20" w:hanging="320"/>
        <w:spacing w:after="0" w:line="236" w:lineRule="auto"/>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the transfer of shares of common stock or other securities in connection with a bona fide third-party tender offer, merger, consolidation or other similar transaction, that is approved by our board of directors, made to all holders of common stock involving a Change of Control (as defined below) and (ii) entry into any lock-up, voting or similar agreement pursuant to which such stockholder may agree to transfer, sell, tender or otherwise dispose of shares of common stock or such other securities in connection with a transaction described in (i) above; provided that in the event that the tender offer, merger, consolidation or other similar transaction is not completed, the common stock or other securities shall remain subject to the restrictions contained in the lock-up agreement. For the purposes of this subparagraph, “Change of Control” means the transfer (whether by tender offer, merger, consolidation or other similar transaction), in one transaction or a series of related transactions, to a person or group of affiliated persons (other than the underwriters pursuant to this offering), of shares of common stock or other securities if, after such transfer, our stockholders immediately prior to such transfer do not own at least fifty percent (50%) of our (or the surviving entity’s) outstanding voting securities.</w:t>
      </w:r>
    </w:p>
    <w:p>
      <w:pPr>
        <w:spacing w:after="0" w:line="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Morgan Stanley &amp; Co. LLC, in its sole discretion, may release the common stock and other securities subject to the lock-up agreements described above in whole or in part at any time. If such a release is granted to one of our directors, officers or holders of 4% or more of our outstanding common stock, then our 5% stockholders (as identified elsewhere in this prospectus) will be released from such restriction on a pro-rata basis, subject to certain exceptions set forth in the lock-up agreements.</w:t>
      </w:r>
    </w:p>
    <w:p>
      <w:pPr>
        <w:spacing w:after="0" w:line="205"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In addition, and notwithstanding the foregoing, if the individual signing the lock-up agreement is (i) as of the First Early Release Date, an employee of ours with a title below senior vice president, or an Early Release Employee,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then such individual will be released from this restriction with respect to a number of shares of common stock equal to 10% of such Early Release Employee’s vested equity at the opening of trading on the second trading day immediately following our public release of earnings (which for this purpose does not include “flash” numbers or preliminary, partial earnings) for the first quarter following the most recent period for which financial statements are included in this prospectus, or the First Early Release Date, and with respect to a number of shares of common stock equal to 25% of such Early Release Employee’s vested equity at the opening of trading on the second trading day immediately following our public release of earnings (which for this purpose does not include “flash” numbers or preliminary, partial earnings) for the second quarter following the most recent period for which financial statements are included in this prospectus, or the Second Early Release Date, and (ii) if the individual signing the lock-up agreement is a security holder of ours who is not a director or officer of ours, and is not an Early Release Employee, such security holder, or Other Early Release Person, will be released from this restriction with respect to a number of shares of common stock equal to 15% of such Other Early Release Person’s vested equity, provided, however, that such Other Early Release Person will only be released from such restrictions to the extent that the last reported closing price of our common stock on the exchange on which our common stock is listed is at least 25% greater than the initial public offering price per share set forth on the cover page of this prospectus for any 10 trading days out of the 15-consecutive full trading day period ending on the closing of the first full trading day immediately prior to the Second Early Release Date.</w:t>
      </w:r>
    </w:p>
    <w:p>
      <w:pPr>
        <w:spacing w:after="0" w:line="21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1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202"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Pricing of the offering</w:t>
      </w:r>
    </w:p>
    <w:p>
      <w:pPr>
        <w:spacing w:after="0" w:line="13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Directed share program</w:t>
      </w:r>
    </w:p>
    <w:p>
      <w:pPr>
        <w:spacing w:after="0" w:line="130"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At our request, the underwriters have reserved up to 725,000 shares of common stock, or 5% of the shares offered by this prospectus for sale, at the initial public offering price through a directed share program to eligible instructors on our platform.</w:t>
      </w:r>
    </w:p>
    <w:p>
      <w:pPr>
        <w:spacing w:after="0" w:line="1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Instructors in good standing with our Trust &amp; Safety team who have at least one active, published course on our platform and at least 10 enrolled learners as of October 1, 2021 are potentially eligible for the program. Instructors must also have an active tax form on file with us and reside in the U.S. or selected international jurisdictions to be potentially eligible for the program. If demand for the program exceeds capacity in a particular jurisdiction, we may invite instructors to participate based on lifetime earnings through our platform.</w:t>
      </w:r>
    </w:p>
    <w:p>
      <w:pPr>
        <w:spacing w:after="0" w:line="32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number of shares of common stock available for sale to the general public will be reduced to the extent that these individuals purchase such reserved shares. Any reserved shares that are not so purchased will be offered by the underwriters to the general public on the same basis as the other shares offered by this prospectus.</w:t>
      </w:r>
    </w:p>
    <w:p>
      <w:pPr>
        <w:spacing w:after="0" w:line="203" w:lineRule="exact"/>
        <w:rPr>
          <w:sz w:val="20"/>
          <w:szCs w:val="20"/>
          <w:color w:val="auto"/>
        </w:rPr>
      </w:pPr>
    </w:p>
    <w:p>
      <w:pPr>
        <w:ind w:left="120" w:right="860"/>
        <w:spacing w:after="0" w:line="246" w:lineRule="auto"/>
        <w:rPr>
          <w:sz w:val="20"/>
          <w:szCs w:val="20"/>
          <w:color w:val="auto"/>
        </w:rPr>
      </w:pPr>
      <w:r>
        <w:rPr>
          <w:rFonts w:ascii="Arial" w:cs="Arial" w:eastAsia="Arial" w:hAnsi="Arial"/>
          <w:sz w:val="18"/>
          <w:szCs w:val="18"/>
          <w:color w:val="auto"/>
        </w:rPr>
        <w:t>Participants in this directed share program will not be subject to lockup or market standoff restrictions with respect to any shares purchased through the directed share program.</w:t>
      </w:r>
    </w:p>
    <w:p>
      <w:pPr>
        <w:spacing w:after="0" w:line="197"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Other than the underwriting discount described on the front cover of this prospectus, the underwriters will not be entitled to any commission with respect to shares of common stock sold pursuant to the directed share program. We will agree to indemnify the underwriters against certain liabilities and expenses, including liabilities under the Securities Act, in connection with sales of the shares reserved for the directed share program. Morgan Stanley &amp; Co. LLC will administer our directed share program.</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In relation to each Member State of the European Economic Area, or a Relevant Member State, an offer to the public of any shares of common stock may not be made in that Relevant Member State, except that an offer to the public in that Relevant Member State of any shares of common stock may be made at any time under the following exemptions under the Prospectus Regulation:</w:t>
      </w:r>
    </w:p>
    <w:p>
      <w:pPr>
        <w:spacing w:after="0" w:line="108" w:lineRule="exact"/>
        <w:rPr>
          <w:sz w:val="20"/>
          <w:szCs w:val="20"/>
          <w:color w:val="auto"/>
        </w:rPr>
      </w:pPr>
    </w:p>
    <w:p>
      <w:pPr>
        <w:ind w:left="980" w:hanging="432"/>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980" w:right="20" w:hanging="432"/>
        <w:spacing w:after="0" w:line="246"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provided that no such offer of shares shall result in a requirement for us or any underwriter to publish a prospectus pursuant to Article 3 of the Prospectus Regulation or a supplemental prospectus pursuant to Article 23 of the Prospectus Regulation.</w:t>
      </w:r>
    </w:p>
    <w:p>
      <w:pPr>
        <w:spacing w:after="0" w:line="19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(as amended).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right="420"/>
        <w:spacing w:after="0"/>
        <w:rPr>
          <w:sz w:val="20"/>
          <w:szCs w:val="20"/>
          <w:color w:val="auto"/>
        </w:rPr>
      </w:pPr>
      <w:r>
        <w:rPr>
          <w:rFonts w:ascii="Arial" w:cs="Arial" w:eastAsia="Arial" w:hAnsi="Arial"/>
          <w:sz w:val="18"/>
          <w:szCs w:val="18"/>
          <w:color w:val="auto"/>
        </w:rPr>
        <w:t>An offer to the public of any shares of common stock may not be made in the United Kingdom, except that an offer to the public in the United Kingdom of any shares of common stock may be made at any time under the following exemptions under the UK Prospectus Regulation:</w:t>
      </w:r>
    </w:p>
    <w:p>
      <w:pPr>
        <w:spacing w:after="0" w:line="108" w:lineRule="exact"/>
        <w:rPr>
          <w:sz w:val="20"/>
          <w:szCs w:val="20"/>
          <w:color w:val="auto"/>
        </w:rPr>
      </w:pPr>
    </w:p>
    <w:p>
      <w:pPr>
        <w:ind w:left="980" w:hanging="432"/>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17" w:lineRule="exact"/>
        <w:rPr>
          <w:rFonts w:ascii="Arial" w:cs="Arial" w:eastAsia="Arial" w:hAnsi="Arial"/>
          <w:sz w:val="18"/>
          <w:szCs w:val="18"/>
          <w:color w:val="auto"/>
        </w:rPr>
      </w:pPr>
    </w:p>
    <w:p>
      <w:pPr>
        <w:ind w:left="980" w:right="340" w:hanging="432"/>
        <w:spacing w:after="0" w:line="246"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212"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provided that no such offer of shares shall result in a requirement for us or any underwriter to publish a prospectus pursuant to section 85 of the FSMA or a supplemental prospectus pursuant to Article 23 of the UK Prospectus Regulation and each person who initially acquires any shares of common stock or to whom any offer is made will be deemed to have represented, warranted and agreed to and with each of the underwriters and us that it is a qualified investor within the meaning of Article 2 of the UK Prospectus Regulation.</w:t>
      </w:r>
    </w:p>
    <w:p>
      <w:pPr>
        <w:spacing w:after="0" w:line="205"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In the United Kingdom, this prospectus may be distributed only to, and is directed only at, persons who are “qualified investors” (as defined in the UK Prospectus Regulation) who are (i) persons having professional experience in matters relating to investments falling within Article 19(5) of the FSMA (Financial Promotion) Order 2005, as amended, or the Order, or (ii) high net worth entities falling within Article 49(2)(a) to (d) of the Order, or (iii) persons to whom it would otherwise be lawful to distribute it, all such persons together being referred to as “Relevant Persons.” In the United Kingdom, the shares of common stock are only available to, and any invitation, offer or agreement to subscribe, purchase or otherwise acquire such shares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0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40"/>
        <w:spacing w:after="0" w:line="274" w:lineRule="auto"/>
        <w:rPr>
          <w:sz w:val="20"/>
          <w:szCs w:val="20"/>
          <w:color w:val="auto"/>
        </w:rPr>
      </w:pPr>
      <w:r>
        <w:rPr>
          <w:rFonts w:ascii="Arial" w:cs="Arial" w:eastAsia="Arial" w:hAnsi="Arial"/>
          <w:sz w:val="17"/>
          <w:szCs w:val="17"/>
          <w:color w:val="auto"/>
        </w:rPr>
        <w:t>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7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shares of common stock. The shares of common stock may not be publicly offered, directly or indirectly, in Switzerland within the meaning of the Swiss Financial Services Act, or the FinSA, and no application has or will be made to admit the shares of common stock to trading on any trading venue (exchange or multilateral trading facility) in Switzerland. Neither this prospectus nor any other offering or marketing material relating to the shares of common stock constitutes a prospectus pursuant to the FinSA, and neither this prospectus nor any other offering or marketing material relating to the shares of common stock may be publicly distributed or otherwise made publicly available in Switzerland.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26"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280"/>
        <w:spacing w:after="0" w:line="257"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9"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5"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shares of common stock may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may be issued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220"/>
        <w:spacing w:after="0" w:line="274"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may be made with respect to the solicitation of the application for the acquisition of the shares of common stock.</w:t>
      </w:r>
    </w:p>
    <w:p>
      <w:pPr>
        <w:spacing w:after="0" w:line="17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Accordingly, the shares of common stock may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2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Non-QII Investors</w:t>
      </w:r>
    </w:p>
    <w:p>
      <w:pPr>
        <w:spacing w:after="0" w:line="122"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20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Legal matters</w:t>
      </w:r>
    </w:p>
    <w:p>
      <w:pPr>
        <w:spacing w:after="0" w:line="14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 Goodrich &amp; Rosati, Professional Corporation, Palo Alto, California. The underwriters are being represented by Simpson Thacher &amp; Bartlett LLP, Palo Alto, California.</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Experts</w:t>
      </w:r>
    </w:p>
    <w:p>
      <w:pPr>
        <w:spacing w:after="0" w:line="14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Where you can find additional information</w:t>
      </w:r>
    </w:p>
    <w:p>
      <w:pPr>
        <w:spacing w:after="0" w:line="14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read our SEC filings, including the registration statement and its exhibits, over the internet at the SEC’s website at www.sec.gov.</w:t>
      </w:r>
    </w:p>
    <w:p>
      <w:pPr>
        <w:spacing w:after="0" w:line="21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As a result of this offering, we are subject to the information and reporting requirements of the Exchange Act and file annual, quarterly and special reports, proxy statements, and other information with the SEC. These reports, proxy statements and other information will be available at the SEC’s website. We also maintain a website at www.udemy.com where these materials will be available. Upon the completion of this offering, you may access these materials through our website,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Udemy, Inc.</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Index to Consolidated Financial Statements and</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0000EE"/>
            </w:tcBorders>
            <w:gridSpan w:val="7"/>
          </w:tcPr>
          <w:p>
            <w:pPr>
              <w:spacing w:after="0" w:line="148" w:lineRule="exact"/>
              <w:rPr>
                <w:rFonts w:ascii="Arial" w:cs="Arial" w:eastAsia="Arial" w:hAnsi="Arial"/>
                <w:sz w:val="14"/>
                <w:szCs w:val="14"/>
                <w:color w:val="0000EE"/>
              </w:rPr>
            </w:pPr>
            <w:hyperlink w:anchor="page178">
              <w:r>
                <w:rPr>
                  <w:rFonts w:ascii="Arial" w:cs="Arial" w:eastAsia="Arial" w:hAnsi="Arial"/>
                  <w:sz w:val="14"/>
                  <w:szCs w:val="14"/>
                  <w:color w:val="0000EE"/>
                </w:rPr>
                <w:t>Report of Independent Registered Public Accounting Firm</w:t>
              </w:r>
            </w:hyperlink>
          </w:p>
        </w:tc>
        <w:tc>
          <w:tcPr>
            <w:tcW w:w="2640" w:type="dxa"/>
            <w:vAlign w:val="bottom"/>
          </w:tcPr>
          <w:p>
            <w:pPr>
              <w:spacing w:after="0"/>
              <w:rPr>
                <w:sz w:val="12"/>
                <w:szCs w:val="12"/>
                <w:color w:val="auto"/>
              </w:rPr>
            </w:pPr>
          </w:p>
        </w:tc>
        <w:tc>
          <w:tcPr>
            <w:tcW w:w="4700" w:type="dxa"/>
            <w:vAlign w:val="bottom"/>
          </w:tcPr>
          <w:p>
            <w:pPr>
              <w:jc w:val="right"/>
              <w:spacing w:after="0" w:line="148" w:lineRule="exact"/>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160"/>
        </w:trPr>
        <w:tc>
          <w:tcPr>
            <w:tcW w:w="6320" w:type="dxa"/>
            <w:vAlign w:val="bottom"/>
            <w:gridSpan w:val="8"/>
          </w:tcPr>
          <w:p>
            <w:pPr>
              <w:spacing w:after="0"/>
              <w:rPr>
                <w:sz w:val="20"/>
                <w:szCs w:val="20"/>
                <w:color w:val="auto"/>
              </w:rPr>
            </w:pPr>
            <w:r>
              <w:rPr>
                <w:rFonts w:ascii="Arial" w:cs="Arial" w:eastAsia="Arial" w:hAnsi="Arial"/>
                <w:sz w:val="14"/>
                <w:szCs w:val="14"/>
                <w:color w:val="auto"/>
              </w:rPr>
              <w:t>Consolidated Financial Statements:</w:t>
            </w: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900" w:type="dxa"/>
            <w:vAlign w:val="bottom"/>
            <w:tcBorders>
              <w:bottom w:val="single" w:sz="8" w:color="0000EE"/>
            </w:tcBorders>
          </w:tcPr>
          <w:p>
            <w:pPr>
              <w:spacing w:after="0" w:line="144" w:lineRule="exact"/>
              <w:rPr>
                <w:rFonts w:ascii="Arial" w:cs="Arial" w:eastAsia="Arial" w:hAnsi="Arial"/>
                <w:sz w:val="14"/>
                <w:szCs w:val="14"/>
                <w:color w:val="0000EE"/>
              </w:rPr>
            </w:pPr>
            <w:hyperlink w:anchor="page179">
              <w:r>
                <w:rPr>
                  <w:rFonts w:ascii="Arial" w:cs="Arial" w:eastAsia="Arial" w:hAnsi="Arial"/>
                  <w:sz w:val="14"/>
                  <w:szCs w:val="14"/>
                  <w:color w:val="0000EE"/>
                </w:rPr>
                <w:t>Consolidated Balance Sheets</w:t>
              </w:r>
            </w:hyperlink>
          </w:p>
        </w:tc>
        <w:tc>
          <w:tcPr>
            <w:tcW w:w="4160" w:type="dxa"/>
            <w:vAlign w:val="bottom"/>
            <w:gridSpan w:val="6"/>
          </w:tcPr>
          <w:p>
            <w:pPr>
              <w:spacing w:after="0"/>
              <w:rPr>
                <w:sz w:val="12"/>
                <w:szCs w:val="12"/>
                <w:color w:val="auto"/>
              </w:rPr>
            </w:pPr>
          </w:p>
        </w:tc>
        <w:tc>
          <w:tcPr>
            <w:tcW w:w="4700" w:type="dxa"/>
            <w:vAlign w:val="bottom"/>
          </w:tcPr>
          <w:p>
            <w:pPr>
              <w:jc w:val="right"/>
              <w:spacing w:after="0" w:line="144" w:lineRule="exact"/>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520" w:type="dxa"/>
            <w:vAlign w:val="bottom"/>
            <w:tcBorders>
              <w:bottom w:val="single" w:sz="8" w:color="0000EE"/>
            </w:tcBorders>
            <w:gridSpan w:val="2"/>
          </w:tcPr>
          <w:p>
            <w:pPr>
              <w:spacing w:after="0" w:line="142" w:lineRule="exact"/>
              <w:rPr>
                <w:rFonts w:ascii="Arial" w:cs="Arial" w:eastAsia="Arial" w:hAnsi="Arial"/>
                <w:sz w:val="14"/>
                <w:szCs w:val="14"/>
                <w:color w:val="0000EE"/>
              </w:rPr>
            </w:pPr>
            <w:hyperlink w:anchor="page180">
              <w:r>
                <w:rPr>
                  <w:rFonts w:ascii="Arial" w:cs="Arial" w:eastAsia="Arial" w:hAnsi="Arial"/>
                  <w:sz w:val="14"/>
                  <w:szCs w:val="14"/>
                  <w:color w:val="0000EE"/>
                </w:rPr>
                <w:t>Consolidated Statements of Operations</w:t>
              </w:r>
            </w:hyperlink>
          </w:p>
        </w:tc>
        <w:tc>
          <w:tcPr>
            <w:tcW w:w="3540" w:type="dxa"/>
            <w:vAlign w:val="bottom"/>
            <w:gridSpan w:val="5"/>
          </w:tcPr>
          <w:p>
            <w:pPr>
              <w:spacing w:after="0"/>
              <w:rPr>
                <w:sz w:val="12"/>
                <w:szCs w:val="12"/>
                <w:color w:val="auto"/>
              </w:rPr>
            </w:pPr>
          </w:p>
        </w:tc>
        <w:tc>
          <w:tcPr>
            <w:tcW w:w="4700" w:type="dxa"/>
            <w:vAlign w:val="bottom"/>
          </w:tcPr>
          <w:p>
            <w:pPr>
              <w:jc w:val="right"/>
              <w:spacing w:after="0" w:line="142" w:lineRule="exact"/>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060" w:type="dxa"/>
            <w:vAlign w:val="bottom"/>
            <w:gridSpan w:val="7"/>
          </w:tcPr>
          <w:p>
            <w:pPr>
              <w:spacing w:after="0" w:line="142" w:lineRule="exact"/>
              <w:rPr>
                <w:rFonts w:ascii="Arial" w:cs="Arial" w:eastAsia="Arial" w:hAnsi="Arial"/>
                <w:sz w:val="14"/>
                <w:szCs w:val="14"/>
                <w:color w:val="0000EE"/>
              </w:rPr>
            </w:pPr>
            <w:hyperlink w:anchor="page181">
              <w:r>
                <w:rPr>
                  <w:rFonts w:ascii="Arial" w:cs="Arial" w:eastAsia="Arial" w:hAnsi="Arial"/>
                  <w:sz w:val="14"/>
                  <w:szCs w:val="14"/>
                  <w:color w:val="0000EE"/>
                </w:rPr>
                <w:t>Consolidated Statements of Comprehensive Loss</w:t>
              </w:r>
            </w:hyperlink>
          </w:p>
        </w:tc>
        <w:tc>
          <w:tcPr>
            <w:tcW w:w="4700" w:type="dxa"/>
            <w:vAlign w:val="bottom"/>
          </w:tcPr>
          <w:p>
            <w:pPr>
              <w:jc w:val="right"/>
              <w:spacing w:after="0" w:line="142" w:lineRule="exact"/>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700" w:type="dxa"/>
            <w:vAlign w:val="bottom"/>
            <w:vMerge w:val="restart"/>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6060" w:type="dxa"/>
            <w:vAlign w:val="bottom"/>
            <w:tcBorders>
              <w:bottom w:val="single" w:sz="8" w:color="0000EE"/>
            </w:tcBorders>
            <w:gridSpan w:val="7"/>
          </w:tcPr>
          <w:p>
            <w:pPr>
              <w:spacing w:after="0" w:line="142" w:lineRule="exact"/>
              <w:rPr>
                <w:rFonts w:ascii="Arial" w:cs="Arial" w:eastAsia="Arial" w:hAnsi="Arial"/>
                <w:sz w:val="14"/>
                <w:szCs w:val="14"/>
                <w:color w:val="0000EE"/>
              </w:rPr>
            </w:pPr>
            <w:hyperlink w:anchor="page182">
              <w:r>
                <w:rPr>
                  <w:rFonts w:ascii="Arial" w:cs="Arial" w:eastAsia="Arial" w:hAnsi="Arial"/>
                  <w:sz w:val="14"/>
                  <w:szCs w:val="14"/>
                  <w:color w:val="0000EE"/>
                </w:rPr>
                <w:t>Consolidated Statements of Redeemable Convertible Preferred Stock and Stockholders’ Deficit</w:t>
              </w:r>
            </w:hyperlink>
          </w:p>
        </w:tc>
        <w:tc>
          <w:tcPr>
            <w:tcW w:w="4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060" w:type="dxa"/>
            <w:vAlign w:val="bottom"/>
            <w:gridSpan w:val="7"/>
          </w:tcPr>
          <w:p>
            <w:pPr>
              <w:spacing w:after="0" w:line="142" w:lineRule="exact"/>
              <w:rPr>
                <w:rFonts w:ascii="Arial" w:cs="Arial" w:eastAsia="Arial" w:hAnsi="Arial"/>
                <w:sz w:val="14"/>
                <w:szCs w:val="14"/>
                <w:color w:val="0000EE"/>
              </w:rPr>
            </w:pPr>
            <w:hyperlink w:anchor="page184">
              <w:r>
                <w:rPr>
                  <w:rFonts w:ascii="Arial" w:cs="Arial" w:eastAsia="Arial" w:hAnsi="Arial"/>
                  <w:sz w:val="14"/>
                  <w:szCs w:val="14"/>
                  <w:color w:val="0000EE"/>
                </w:rPr>
                <w:t>Consolidated Statements of Cash Flows</w:t>
              </w:r>
            </w:hyperlink>
          </w:p>
        </w:tc>
        <w:tc>
          <w:tcPr>
            <w:tcW w:w="4700" w:type="dxa"/>
            <w:vAlign w:val="bottom"/>
          </w:tcPr>
          <w:p>
            <w:pPr>
              <w:jc w:val="right"/>
              <w:spacing w:after="0" w:line="142" w:lineRule="exact"/>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700" w:type="dxa"/>
            <w:vAlign w:val="bottom"/>
            <w:vMerge w:val="restart"/>
          </w:tcPr>
          <w:p>
            <w:pPr>
              <w:jc w:val="right"/>
              <w:spacing w:after="0"/>
              <w:rPr>
                <w:sz w:val="20"/>
                <w:szCs w:val="20"/>
                <w:color w:val="auto"/>
              </w:rPr>
            </w:pPr>
            <w:r>
              <w:rPr>
                <w:rFonts w:ascii="Arial" w:cs="Arial" w:eastAsia="Arial" w:hAnsi="Arial"/>
                <w:sz w:val="14"/>
                <w:szCs w:val="14"/>
                <w:color w:val="auto"/>
              </w:rPr>
              <w:t>F-10 - F-41</w:t>
            </w: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6060" w:type="dxa"/>
            <w:vAlign w:val="bottom"/>
            <w:gridSpan w:val="7"/>
          </w:tcPr>
          <w:p>
            <w:pPr>
              <w:spacing w:after="0" w:line="142" w:lineRule="exact"/>
              <w:rPr>
                <w:rFonts w:ascii="Arial" w:cs="Arial" w:eastAsia="Arial" w:hAnsi="Arial"/>
                <w:sz w:val="14"/>
                <w:szCs w:val="14"/>
                <w:color w:val="0000EE"/>
              </w:rPr>
            </w:pPr>
            <w:hyperlink w:anchor="page186">
              <w:r>
                <w:rPr>
                  <w:rFonts w:ascii="Arial" w:cs="Arial" w:eastAsia="Arial" w:hAnsi="Arial"/>
                  <w:sz w:val="14"/>
                  <w:szCs w:val="14"/>
                  <w:color w:val="0000EE"/>
                </w:rPr>
                <w:t>Notes to Consolidated Financial Statements</w:t>
              </w:r>
            </w:hyperlink>
          </w:p>
        </w:tc>
        <w:tc>
          <w:tcPr>
            <w:tcW w:w="4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00" w:type="dxa"/>
            <w:vAlign w:val="bottom"/>
          </w:tcPr>
          <w:p>
            <w:pPr>
              <w:jc w:val="right"/>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900"/>
        <w:spacing w:after="0"/>
        <w:rPr>
          <w:sz w:val="20"/>
          <w:szCs w:val="20"/>
          <w:color w:val="auto"/>
        </w:rPr>
      </w:pPr>
      <w:r>
        <w:rPr>
          <w:rFonts w:ascii="Arial" w:cs="Arial" w:eastAsia="Arial" w:hAnsi="Arial"/>
          <w:sz w:val="27"/>
          <w:szCs w:val="27"/>
          <w:b w:val="1"/>
          <w:bCs w:val="1"/>
          <w:color w:val="auto"/>
        </w:rPr>
        <w:t>Report of Independent Registered Public Accounting Firm</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Udemy, Inc.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30"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We have audited the accompanying consolidated balance sheets of Udemy, Inc. and subsidiaries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3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ind w:left="120"/>
        <w:spacing w:after="0"/>
        <w:rPr>
          <w:sz w:val="20"/>
          <w:szCs w:val="20"/>
          <w:color w:val="auto"/>
        </w:rPr>
      </w:pPr>
      <w:r>
        <w:rPr>
          <w:rFonts w:ascii="Arial" w:cs="Arial" w:eastAsia="Arial" w:hAnsi="Arial"/>
          <w:sz w:val="18"/>
          <w:szCs w:val="18"/>
          <w:color w:val="auto"/>
        </w:rPr>
        <w:t>May 25, 2021 (July 9, 2021 as to the effects of the immaterial restatement discussed in Note 15)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w w:val="99"/>
              </w:rPr>
              <w:t>June 30,</w:t>
            </w:r>
          </w:p>
        </w:tc>
      </w:tr>
      <w:tr>
        <w:trPr>
          <w:trHeight w:val="128"/>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77"/>
              <w:spacing w:after="0" w:line="129"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center"/>
              <w:ind w:right="277"/>
              <w:spacing w:after="0" w:line="129" w:lineRule="exact"/>
              <w:rPr>
                <w:sz w:val="20"/>
                <w:szCs w:val="20"/>
                <w:color w:val="auto"/>
              </w:rPr>
            </w:pPr>
            <w:r>
              <w:rPr>
                <w:rFonts w:ascii="Arial" w:cs="Arial" w:eastAsia="Arial" w:hAnsi="Arial"/>
                <w:sz w:val="13"/>
                <w:szCs w:val="13"/>
                <w:b w:val="1"/>
                <w:bCs w:val="1"/>
                <w:color w:val="auto"/>
                <w:w w:val="96"/>
              </w:rPr>
              <w:t>2021</w:t>
            </w:r>
          </w:p>
        </w:tc>
      </w:tr>
      <w:tr>
        <w:trPr>
          <w:trHeight w:val="150"/>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center"/>
              <w:ind w:right="277"/>
              <w:spacing w:after="0"/>
              <w:rPr>
                <w:sz w:val="20"/>
                <w:szCs w:val="20"/>
                <w:color w:val="auto"/>
              </w:rPr>
            </w:pPr>
            <w:r>
              <w:rPr>
                <w:rFonts w:ascii="Arial" w:cs="Arial" w:eastAsia="Arial" w:hAnsi="Arial"/>
                <w:sz w:val="13"/>
                <w:szCs w:val="13"/>
                <w:color w:val="auto"/>
                <w:w w:val="97"/>
              </w:rPr>
              <w:t>(unaudited)</w:t>
            </w:r>
          </w:p>
        </w:tc>
      </w:tr>
      <w:tr>
        <w:trPr>
          <w:trHeight w:val="140"/>
        </w:trPr>
        <w:tc>
          <w:tcPr>
            <w:tcW w:w="5500" w:type="dxa"/>
            <w:vAlign w:val="bottom"/>
            <w:shd w:val="clear" w:color="auto" w:fill="DDDDDD"/>
          </w:tcPr>
          <w:p>
            <w:pPr>
              <w:spacing w:after="0" w:line="140"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DDDDDD"/>
          </w:tcPr>
          <w:p>
            <w:pPr>
              <w:spacing w:after="0"/>
              <w:rPr>
                <w:sz w:val="12"/>
                <w:szCs w:val="12"/>
                <w:color w:val="auto"/>
              </w:rPr>
            </w:pPr>
          </w:p>
        </w:tc>
        <w:tc>
          <w:tcPr>
            <w:tcW w:w="1040" w:type="dxa"/>
            <w:vAlign w:val="bottom"/>
            <w:shd w:val="clear" w:color="auto" w:fill="DDDDDD"/>
          </w:tcPr>
          <w:p>
            <w:pPr>
              <w:spacing w:after="0"/>
              <w:rPr>
                <w:sz w:val="12"/>
                <w:szCs w:val="12"/>
                <w:color w:val="auto"/>
              </w:rPr>
            </w:pPr>
          </w:p>
        </w:tc>
        <w:tc>
          <w:tcPr>
            <w:tcW w:w="68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2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1460" w:type="dxa"/>
            <w:vAlign w:val="bottom"/>
            <w:shd w:val="clear" w:color="auto" w:fill="DDDDDD"/>
          </w:tcPr>
          <w:p>
            <w:pPr>
              <w:spacing w:after="0"/>
              <w:rPr>
                <w:sz w:val="12"/>
                <w:szCs w:val="12"/>
                <w:color w:val="auto"/>
              </w:rPr>
            </w:pP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550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Cash and cash equivalents</w:t>
            </w:r>
          </w:p>
        </w:tc>
        <w:tc>
          <w:tcPr>
            <w:tcW w:w="1060" w:type="dxa"/>
            <w:vAlign w:val="bottom"/>
            <w:gridSpan w:val="2"/>
            <w:shd w:val="clear" w:color="auto" w:fill="DDDDDD"/>
          </w:tcPr>
          <w:p>
            <w:pPr>
              <w:jc w:val="right"/>
              <w:ind w:right="93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49,139</w:t>
            </w:r>
          </w:p>
        </w:tc>
        <w:tc>
          <w:tcPr>
            <w:tcW w:w="660" w:type="dxa"/>
            <w:vAlign w:val="bottom"/>
            <w:gridSpan w:val="2"/>
            <w:shd w:val="clear" w:color="auto" w:fill="DDDDDD"/>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175,031</w:t>
            </w:r>
          </w:p>
        </w:tc>
        <w:tc>
          <w:tcPr>
            <w:tcW w:w="440" w:type="dxa"/>
            <w:vAlign w:val="bottom"/>
            <w:gridSpan w:val="2"/>
            <w:shd w:val="clear" w:color="auto" w:fill="DDDDDD"/>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163,198</w:t>
            </w:r>
          </w:p>
        </w:tc>
      </w:tr>
      <w:tr>
        <w:trPr>
          <w:trHeight w:val="135"/>
        </w:trPr>
        <w:tc>
          <w:tcPr>
            <w:tcW w:w="5500" w:type="dxa"/>
            <w:vAlign w:val="bottom"/>
          </w:tcPr>
          <w:p>
            <w:pPr>
              <w:ind w:left="220"/>
              <w:spacing w:after="0" w:line="135" w:lineRule="exact"/>
              <w:rPr>
                <w:sz w:val="20"/>
                <w:szCs w:val="20"/>
                <w:color w:val="auto"/>
              </w:rPr>
            </w:pPr>
            <w:r>
              <w:rPr>
                <w:rFonts w:ascii="Arial" w:cs="Arial" w:eastAsia="Arial" w:hAnsi="Arial"/>
                <w:sz w:val="13"/>
                <w:szCs w:val="13"/>
                <w:color w:val="auto"/>
              </w:rPr>
              <w:t>Restricted cash, current</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112</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r>
      <w:tr>
        <w:trPr>
          <w:trHeight w:val="129"/>
        </w:trPr>
        <w:tc>
          <w:tcPr>
            <w:tcW w:w="5500" w:type="dxa"/>
            <w:vAlign w:val="bottom"/>
            <w:shd w:val="clear" w:color="auto" w:fill="DDDDDD"/>
          </w:tcPr>
          <w:p>
            <w:pPr>
              <w:ind w:left="220"/>
              <w:spacing w:after="0" w:line="129" w:lineRule="exact"/>
              <w:rPr>
                <w:sz w:val="20"/>
                <w:szCs w:val="20"/>
                <w:color w:val="auto"/>
              </w:rPr>
            </w:pPr>
            <w:r>
              <w:rPr>
                <w:rFonts w:ascii="Arial" w:cs="Arial" w:eastAsia="Arial" w:hAnsi="Arial"/>
                <w:sz w:val="13"/>
                <w:szCs w:val="13"/>
                <w:color w:val="auto"/>
              </w:rPr>
              <w:t>Accounts receivable, net of allowance for doubtful accounts of $582, $643, and $503 as of</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spacing w:after="0"/>
              <w:rPr>
                <w:sz w:val="11"/>
                <w:szCs w:val="11"/>
                <w:color w:val="auto"/>
              </w:rPr>
            </w:pPr>
          </w:p>
        </w:tc>
      </w:tr>
      <w:tr>
        <w:trPr>
          <w:trHeight w:val="141"/>
        </w:trPr>
        <w:tc>
          <w:tcPr>
            <w:tcW w:w="5500" w:type="dxa"/>
            <w:vAlign w:val="bottom"/>
            <w:shd w:val="clear" w:color="auto" w:fill="DDDDDD"/>
          </w:tcPr>
          <w:p>
            <w:pPr>
              <w:ind w:left="320"/>
              <w:spacing w:after="0" w:line="141" w:lineRule="exact"/>
              <w:rPr>
                <w:sz w:val="20"/>
                <w:szCs w:val="20"/>
                <w:color w:val="auto"/>
              </w:rPr>
            </w:pPr>
            <w:r>
              <w:rPr>
                <w:rFonts w:ascii="Arial" w:cs="Arial" w:eastAsia="Arial" w:hAnsi="Arial"/>
                <w:sz w:val="13"/>
                <w:szCs w:val="13"/>
                <w:color w:val="auto"/>
              </w:rPr>
              <w:t>December 31, 2019 and 2020, and June 30, 2021 (unaudited), respectively</w:t>
            </w:r>
          </w:p>
        </w:tc>
        <w:tc>
          <w:tcPr>
            <w:tcW w:w="20" w:type="dxa"/>
            <w:vAlign w:val="bottom"/>
            <w:shd w:val="clear" w:color="auto" w:fill="DDDDDD"/>
          </w:tcPr>
          <w:p>
            <w:pPr>
              <w:spacing w:after="0"/>
              <w:rPr>
                <w:sz w:val="12"/>
                <w:szCs w:val="12"/>
                <w:color w:val="auto"/>
              </w:rPr>
            </w:pPr>
          </w:p>
        </w:tc>
        <w:tc>
          <w:tcPr>
            <w:tcW w:w="1040" w:type="dxa"/>
            <w:vAlign w:val="bottom"/>
            <w:shd w:val="clear" w:color="auto" w:fill="DDDDDD"/>
          </w:tcPr>
          <w:p>
            <w:pPr>
              <w:spacing w:after="0"/>
              <w:rPr>
                <w:sz w:val="12"/>
                <w:szCs w:val="12"/>
                <w:color w:val="auto"/>
              </w:rPr>
            </w:pPr>
          </w:p>
        </w:tc>
        <w:tc>
          <w:tcPr>
            <w:tcW w:w="6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26,807</w:t>
            </w:r>
          </w:p>
        </w:tc>
        <w:tc>
          <w:tcPr>
            <w:tcW w:w="120" w:type="dxa"/>
            <w:vAlign w:val="bottom"/>
            <w:shd w:val="clear" w:color="auto" w:fill="DDDDDD"/>
          </w:tcPr>
          <w:p>
            <w:pPr>
              <w:spacing w:after="0"/>
              <w:rPr>
                <w:sz w:val="12"/>
                <w:szCs w:val="12"/>
                <w:color w:val="auto"/>
              </w:rPr>
            </w:pPr>
          </w:p>
        </w:tc>
        <w:tc>
          <w:tcPr>
            <w:tcW w:w="540" w:type="dxa"/>
            <w:vAlign w:val="bottom"/>
            <w:shd w:val="clear" w:color="auto" w:fill="DDDDDD"/>
          </w:tcPr>
          <w:p>
            <w:pPr>
              <w:spacing w:after="0"/>
              <w:rPr>
                <w:sz w:val="12"/>
                <w:szCs w:val="12"/>
                <w:color w:val="auto"/>
              </w:rPr>
            </w:pPr>
          </w:p>
        </w:tc>
        <w:tc>
          <w:tcPr>
            <w:tcW w:w="122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46,257</w:t>
            </w:r>
          </w:p>
        </w:tc>
        <w:tc>
          <w:tcPr>
            <w:tcW w:w="10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1460" w:type="dxa"/>
            <w:vAlign w:val="bottom"/>
            <w:shd w:val="clear" w:color="auto" w:fill="DDDDDD"/>
          </w:tcPr>
          <w:p>
            <w:pPr>
              <w:jc w:val="right"/>
              <w:ind w:right="97"/>
              <w:spacing w:after="0" w:line="141" w:lineRule="exact"/>
              <w:rPr>
                <w:sz w:val="20"/>
                <w:szCs w:val="20"/>
                <w:color w:val="auto"/>
              </w:rPr>
            </w:pPr>
            <w:r>
              <w:rPr>
                <w:rFonts w:ascii="Arial" w:cs="Arial" w:eastAsia="Arial" w:hAnsi="Arial"/>
                <w:sz w:val="13"/>
                <w:szCs w:val="13"/>
                <w:color w:val="auto"/>
              </w:rPr>
              <w:t>42,762</w:t>
            </w:r>
          </w:p>
        </w:tc>
      </w:tr>
      <w:tr>
        <w:trPr>
          <w:trHeight w:val="135"/>
        </w:trPr>
        <w:tc>
          <w:tcPr>
            <w:tcW w:w="5500" w:type="dxa"/>
            <w:vAlign w:val="bottom"/>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3,626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12,792</w:t>
            </w:r>
          </w:p>
        </w:tc>
      </w:tr>
      <w:tr>
        <w:trPr>
          <w:trHeight w:val="135"/>
        </w:trPr>
        <w:tc>
          <w:tcPr>
            <w:tcW w:w="550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Deferred contract costs, current</w:t>
            </w:r>
          </w:p>
        </w:tc>
        <w:tc>
          <w:tcPr>
            <w:tcW w:w="20" w:type="dxa"/>
            <w:vAlign w:val="bottom"/>
            <w:shd w:val="clear" w:color="auto" w:fill="DDDDDD"/>
          </w:tcPr>
          <w:p>
            <w:pPr>
              <w:spacing w:after="0"/>
              <w:rPr>
                <w:sz w:val="11"/>
                <w:szCs w:val="11"/>
                <w:color w:val="auto"/>
              </w:rPr>
            </w:pPr>
          </w:p>
        </w:tc>
        <w:tc>
          <w:tcPr>
            <w:tcW w:w="104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4,696</w:t>
            </w:r>
          </w:p>
        </w:tc>
        <w:tc>
          <w:tcPr>
            <w:tcW w:w="120" w:type="dxa"/>
            <w:vAlign w:val="bottom"/>
            <w:shd w:val="clear" w:color="auto" w:fill="DDDDDD"/>
          </w:tcPr>
          <w:p>
            <w:pPr>
              <w:spacing w:after="0"/>
              <w:rPr>
                <w:sz w:val="11"/>
                <w:szCs w:val="11"/>
                <w:color w:val="auto"/>
              </w:rPr>
            </w:pPr>
          </w:p>
        </w:tc>
        <w:tc>
          <w:tcPr>
            <w:tcW w:w="540" w:type="dxa"/>
            <w:vAlign w:val="bottom"/>
            <w:tcBorders>
              <w:bottom w:val="single" w:sz="8" w:color="auto"/>
            </w:tcBorders>
            <w:shd w:val="clear" w:color="auto" w:fill="DDDDDD"/>
          </w:tcPr>
          <w:p>
            <w:pPr>
              <w:spacing w:after="0"/>
              <w:rPr>
                <w:sz w:val="11"/>
                <w:szCs w:val="11"/>
                <w:color w:val="auto"/>
              </w:rPr>
            </w:pPr>
          </w:p>
        </w:tc>
        <w:tc>
          <w:tcPr>
            <w:tcW w:w="12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9,640</w:t>
            </w:r>
          </w:p>
        </w:tc>
        <w:tc>
          <w:tcPr>
            <w:tcW w:w="100" w:type="dxa"/>
            <w:vAlign w:val="bottom"/>
            <w:shd w:val="clear" w:color="auto" w:fill="DDDDDD"/>
          </w:tcPr>
          <w:p>
            <w:pPr>
              <w:spacing w:after="0"/>
              <w:rPr>
                <w:sz w:val="11"/>
                <w:szCs w:val="11"/>
                <w:color w:val="auto"/>
              </w:rPr>
            </w:pPr>
          </w:p>
        </w:tc>
        <w:tc>
          <w:tcPr>
            <w:tcW w:w="340" w:type="dxa"/>
            <w:vAlign w:val="bottom"/>
            <w:tcBorders>
              <w:bottom w:val="single" w:sz="8" w:color="auto"/>
            </w:tcBorders>
            <w:shd w:val="clear" w:color="auto" w:fill="DDDDDD"/>
          </w:tcPr>
          <w:p>
            <w:pPr>
              <w:spacing w:after="0"/>
              <w:rPr>
                <w:sz w:val="11"/>
                <w:szCs w:val="11"/>
                <w:color w:val="auto"/>
              </w:rPr>
            </w:pPr>
          </w:p>
        </w:tc>
        <w:tc>
          <w:tcPr>
            <w:tcW w:w="146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14,771</w:t>
            </w:r>
          </w:p>
        </w:tc>
      </w:tr>
      <w:tr>
        <w:trPr>
          <w:trHeight w:val="142"/>
        </w:trPr>
        <w:tc>
          <w:tcPr>
            <w:tcW w:w="5500" w:type="dxa"/>
            <w:vAlign w:val="bottom"/>
          </w:tcPr>
          <w:p>
            <w:pPr>
              <w:ind w:left="420"/>
              <w:spacing w:after="0" w:line="142" w:lineRule="exact"/>
              <w:rPr>
                <w:sz w:val="20"/>
                <w:szCs w:val="20"/>
                <w:color w:val="auto"/>
              </w:rPr>
            </w:pPr>
            <w:r>
              <w:rPr>
                <w:rFonts w:ascii="Arial" w:cs="Arial" w:eastAsia="Arial" w:hAnsi="Arial"/>
                <w:sz w:val="13"/>
                <w:szCs w:val="13"/>
                <w:color w:val="auto"/>
              </w:rPr>
              <w:t>Total current assets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84,380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236,964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233,523</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Property and equipment, net</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7,956</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9,106</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10,669</w:t>
            </w: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Capitalized software, net</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10,801</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14,013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17,479</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Restricted cash, non-current</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2,500</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2,900</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2,900</w:t>
            </w: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Deferred contract costs, non-current</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9,684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16,197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19,557</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Other assets</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1,981</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2,916</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2,540</w:t>
            </w: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060" w:type="dxa"/>
            <w:vAlign w:val="bottom"/>
            <w:gridSpan w:val="2"/>
          </w:tcPr>
          <w:p>
            <w:pPr>
              <w:jc w:val="right"/>
              <w:ind w:right="93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117,302</w:t>
            </w:r>
          </w:p>
        </w:tc>
        <w:tc>
          <w:tcPr>
            <w:tcW w:w="660" w:type="dxa"/>
            <w:vAlign w:val="bottom"/>
            <w:gridSpan w:val="2"/>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282,096</w:t>
            </w:r>
          </w:p>
        </w:tc>
        <w:tc>
          <w:tcPr>
            <w:tcW w:w="4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286,668</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07"/>
        </w:trPr>
        <w:tc>
          <w:tcPr>
            <w:tcW w:w="5500" w:type="dxa"/>
            <w:vAlign w:val="bottom"/>
            <w:shd w:val="clear" w:color="auto" w:fill="DDDDDD"/>
          </w:tcPr>
          <w:p>
            <w:pPr>
              <w:spacing w:after="0" w:line="107" w:lineRule="exact"/>
              <w:rPr>
                <w:sz w:val="20"/>
                <w:szCs w:val="20"/>
                <w:color w:val="auto"/>
              </w:rPr>
            </w:pPr>
            <w:r>
              <w:rPr>
                <w:rFonts w:ascii="Arial" w:cs="Arial" w:eastAsia="Arial" w:hAnsi="Arial"/>
                <w:sz w:val="12"/>
                <w:szCs w:val="12"/>
                <w:b w:val="1"/>
                <w:bCs w:val="1"/>
                <w:color w:val="auto"/>
              </w:rPr>
              <w:t>LIABILITIES, REDEEMABLE CONVERTIBLE PREFERRED STOCK, AND STOCKHOLDERS’</w:t>
            </w:r>
          </w:p>
        </w:tc>
        <w:tc>
          <w:tcPr>
            <w:tcW w:w="20" w:type="dxa"/>
            <w:vAlign w:val="bottom"/>
            <w:shd w:val="clear" w:color="auto" w:fill="DDDDDD"/>
          </w:tcPr>
          <w:p>
            <w:pPr>
              <w:spacing w:after="0"/>
              <w:rPr>
                <w:sz w:val="9"/>
                <w:szCs w:val="9"/>
                <w:color w:val="auto"/>
              </w:rPr>
            </w:pPr>
          </w:p>
        </w:tc>
        <w:tc>
          <w:tcPr>
            <w:tcW w:w="1040" w:type="dxa"/>
            <w:vAlign w:val="bottom"/>
            <w:shd w:val="clear" w:color="auto" w:fill="DDDDDD"/>
          </w:tcPr>
          <w:p>
            <w:pPr>
              <w:spacing w:after="0"/>
              <w:rPr>
                <w:sz w:val="9"/>
                <w:szCs w:val="9"/>
                <w:color w:val="auto"/>
              </w:rPr>
            </w:pPr>
          </w:p>
        </w:tc>
        <w:tc>
          <w:tcPr>
            <w:tcW w:w="680" w:type="dxa"/>
            <w:vAlign w:val="bottom"/>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540" w:type="dxa"/>
            <w:vAlign w:val="bottom"/>
            <w:shd w:val="clear" w:color="auto" w:fill="DDDDDD"/>
          </w:tcPr>
          <w:p>
            <w:pPr>
              <w:spacing w:after="0"/>
              <w:rPr>
                <w:sz w:val="9"/>
                <w:szCs w:val="9"/>
                <w:color w:val="auto"/>
              </w:rPr>
            </w:pPr>
          </w:p>
        </w:tc>
        <w:tc>
          <w:tcPr>
            <w:tcW w:w="1220" w:type="dxa"/>
            <w:vAlign w:val="bottom"/>
            <w:shd w:val="clear" w:color="auto" w:fill="DDDDDD"/>
          </w:tcPr>
          <w:p>
            <w:pPr>
              <w:spacing w:after="0"/>
              <w:rPr>
                <w:sz w:val="9"/>
                <w:szCs w:val="9"/>
                <w:color w:val="auto"/>
              </w:rPr>
            </w:pPr>
          </w:p>
        </w:tc>
        <w:tc>
          <w:tcPr>
            <w:tcW w:w="100" w:type="dxa"/>
            <w:vAlign w:val="bottom"/>
            <w:shd w:val="clear" w:color="auto" w:fill="DDDDDD"/>
          </w:tcPr>
          <w:p>
            <w:pPr>
              <w:spacing w:after="0"/>
              <w:rPr>
                <w:sz w:val="9"/>
                <w:szCs w:val="9"/>
                <w:color w:val="auto"/>
              </w:rPr>
            </w:pPr>
          </w:p>
        </w:tc>
        <w:tc>
          <w:tcPr>
            <w:tcW w:w="340" w:type="dxa"/>
            <w:vAlign w:val="bottom"/>
            <w:shd w:val="clear" w:color="auto" w:fill="DDDDDD"/>
          </w:tcPr>
          <w:p>
            <w:pPr>
              <w:spacing w:after="0"/>
              <w:rPr>
                <w:sz w:val="9"/>
                <w:szCs w:val="9"/>
                <w:color w:val="auto"/>
              </w:rPr>
            </w:pPr>
          </w:p>
        </w:tc>
        <w:tc>
          <w:tcPr>
            <w:tcW w:w="1460" w:type="dxa"/>
            <w:vAlign w:val="bottom"/>
            <w:shd w:val="clear" w:color="auto" w:fill="DDDDDD"/>
          </w:tcPr>
          <w:p>
            <w:pPr>
              <w:spacing w:after="0"/>
              <w:rPr>
                <w:sz w:val="9"/>
                <w:szCs w:val="9"/>
                <w:color w:val="auto"/>
              </w:rPr>
            </w:pPr>
          </w:p>
        </w:tc>
      </w:tr>
      <w:tr>
        <w:trPr>
          <w:trHeight w:val="157"/>
        </w:trPr>
        <w:tc>
          <w:tcPr>
            <w:tcW w:w="5500" w:type="dxa"/>
            <w:vAlign w:val="bottom"/>
            <w:shd w:val="clear" w:color="auto" w:fill="DDDDDD"/>
          </w:tcPr>
          <w:p>
            <w:pPr>
              <w:ind w:left="100"/>
              <w:spacing w:after="0"/>
              <w:rPr>
                <w:sz w:val="20"/>
                <w:szCs w:val="20"/>
                <w:color w:val="auto"/>
              </w:rPr>
            </w:pPr>
            <w:r>
              <w:rPr>
                <w:rFonts w:ascii="Arial" w:cs="Arial" w:eastAsia="Arial" w:hAnsi="Arial"/>
                <w:sz w:val="13"/>
                <w:szCs w:val="13"/>
                <w:b w:val="1"/>
                <w:bCs w:val="1"/>
                <w:color w:val="auto"/>
              </w:rPr>
              <w:t>DEFICIT</w:t>
            </w:r>
          </w:p>
        </w:tc>
        <w:tc>
          <w:tcPr>
            <w:tcW w:w="2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1460" w:type="dxa"/>
            <w:vAlign w:val="bottom"/>
            <w:shd w:val="clear" w:color="auto" w:fill="DDDDDD"/>
          </w:tcPr>
          <w:p>
            <w:pPr>
              <w:spacing w:after="0"/>
              <w:rPr>
                <w:sz w:val="13"/>
                <w:szCs w:val="13"/>
                <w:color w:val="auto"/>
              </w:rPr>
            </w:pP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550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060" w:type="dxa"/>
            <w:vAlign w:val="bottom"/>
            <w:gridSpan w:val="2"/>
            <w:shd w:val="clear" w:color="auto" w:fill="DDDDDD"/>
          </w:tcPr>
          <w:p>
            <w:pPr>
              <w:jc w:val="right"/>
              <w:ind w:right="93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16,323</w:t>
            </w:r>
          </w:p>
        </w:tc>
        <w:tc>
          <w:tcPr>
            <w:tcW w:w="660" w:type="dxa"/>
            <w:vAlign w:val="bottom"/>
            <w:gridSpan w:val="2"/>
            <w:shd w:val="clear" w:color="auto" w:fill="DDDDDD"/>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23,710</w:t>
            </w:r>
          </w:p>
        </w:tc>
        <w:tc>
          <w:tcPr>
            <w:tcW w:w="440" w:type="dxa"/>
            <w:vAlign w:val="bottom"/>
            <w:gridSpan w:val="2"/>
            <w:shd w:val="clear" w:color="auto" w:fill="DDDDDD"/>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25,269</w:t>
            </w:r>
          </w:p>
        </w:tc>
      </w:tr>
      <w:tr>
        <w:trPr>
          <w:trHeight w:val="135"/>
        </w:trPr>
        <w:tc>
          <w:tcPr>
            <w:tcW w:w="5500" w:type="dxa"/>
            <w:vAlign w:val="bottom"/>
          </w:tcPr>
          <w:p>
            <w:pPr>
              <w:ind w:left="2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46,128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46,778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43,378</w:t>
            </w:r>
          </w:p>
        </w:tc>
      </w:tr>
      <w:tr>
        <w:trPr>
          <w:trHeight w:val="135"/>
        </w:trPr>
        <w:tc>
          <w:tcPr>
            <w:tcW w:w="550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Content costs payable</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24,868</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31,483</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30,211</w:t>
            </w:r>
          </w:p>
        </w:tc>
      </w:tr>
      <w:tr>
        <w:trPr>
          <w:trHeight w:val="135"/>
        </w:trPr>
        <w:tc>
          <w:tcPr>
            <w:tcW w:w="5500" w:type="dxa"/>
            <w:vAlign w:val="bottom"/>
          </w:tcPr>
          <w:p>
            <w:pPr>
              <w:ind w:left="220"/>
              <w:spacing w:after="0" w:line="135" w:lineRule="exact"/>
              <w:rPr>
                <w:sz w:val="20"/>
                <w:szCs w:val="20"/>
                <w:color w:val="auto"/>
              </w:rPr>
            </w:pPr>
            <w:r>
              <w:rPr>
                <w:rFonts w:ascii="Arial" w:cs="Arial" w:eastAsia="Arial" w:hAnsi="Arial"/>
                <w:sz w:val="13"/>
                <w:szCs w:val="13"/>
                <w:color w:val="auto"/>
              </w:rPr>
              <w:t>Accrued compensation and benefits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9,575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20,403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12,053</w:t>
            </w:r>
          </w:p>
        </w:tc>
      </w:tr>
      <w:tr>
        <w:trPr>
          <w:trHeight w:val="135"/>
        </w:trPr>
        <w:tc>
          <w:tcPr>
            <w:tcW w:w="550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Deferred revenue, current</w:t>
            </w:r>
          </w:p>
        </w:tc>
        <w:tc>
          <w:tcPr>
            <w:tcW w:w="20" w:type="dxa"/>
            <w:vAlign w:val="bottom"/>
            <w:shd w:val="clear" w:color="auto" w:fill="DDDDDD"/>
          </w:tcPr>
          <w:p>
            <w:pPr>
              <w:spacing w:after="0"/>
              <w:rPr>
                <w:sz w:val="11"/>
                <w:szCs w:val="11"/>
                <w:color w:val="auto"/>
              </w:rPr>
            </w:pPr>
          </w:p>
        </w:tc>
        <w:tc>
          <w:tcPr>
            <w:tcW w:w="104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87,005</w:t>
            </w:r>
          </w:p>
        </w:tc>
        <w:tc>
          <w:tcPr>
            <w:tcW w:w="120" w:type="dxa"/>
            <w:vAlign w:val="bottom"/>
            <w:shd w:val="clear" w:color="auto" w:fill="DDDDDD"/>
          </w:tcPr>
          <w:p>
            <w:pPr>
              <w:spacing w:after="0"/>
              <w:rPr>
                <w:sz w:val="11"/>
                <w:szCs w:val="11"/>
                <w:color w:val="auto"/>
              </w:rPr>
            </w:pPr>
          </w:p>
        </w:tc>
        <w:tc>
          <w:tcPr>
            <w:tcW w:w="540" w:type="dxa"/>
            <w:vAlign w:val="bottom"/>
            <w:tcBorders>
              <w:bottom w:val="single" w:sz="8" w:color="auto"/>
            </w:tcBorders>
            <w:shd w:val="clear" w:color="auto" w:fill="DDDDDD"/>
          </w:tcPr>
          <w:p>
            <w:pPr>
              <w:spacing w:after="0"/>
              <w:rPr>
                <w:sz w:val="11"/>
                <w:szCs w:val="11"/>
                <w:color w:val="auto"/>
              </w:rPr>
            </w:pPr>
          </w:p>
        </w:tc>
        <w:tc>
          <w:tcPr>
            <w:tcW w:w="12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141,439</w:t>
            </w:r>
          </w:p>
        </w:tc>
        <w:tc>
          <w:tcPr>
            <w:tcW w:w="100" w:type="dxa"/>
            <w:vAlign w:val="bottom"/>
            <w:shd w:val="clear" w:color="auto" w:fill="DDDDDD"/>
          </w:tcPr>
          <w:p>
            <w:pPr>
              <w:spacing w:after="0"/>
              <w:rPr>
                <w:sz w:val="11"/>
                <w:szCs w:val="11"/>
                <w:color w:val="auto"/>
              </w:rPr>
            </w:pPr>
          </w:p>
        </w:tc>
        <w:tc>
          <w:tcPr>
            <w:tcW w:w="340" w:type="dxa"/>
            <w:vAlign w:val="bottom"/>
            <w:tcBorders>
              <w:bottom w:val="single" w:sz="8" w:color="auto"/>
            </w:tcBorders>
            <w:shd w:val="clear" w:color="auto" w:fill="DDDDDD"/>
          </w:tcPr>
          <w:p>
            <w:pPr>
              <w:spacing w:after="0"/>
              <w:rPr>
                <w:sz w:val="11"/>
                <w:szCs w:val="11"/>
                <w:color w:val="auto"/>
              </w:rPr>
            </w:pPr>
          </w:p>
        </w:tc>
        <w:tc>
          <w:tcPr>
            <w:tcW w:w="146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162,745</w:t>
            </w:r>
          </w:p>
        </w:tc>
      </w:tr>
      <w:tr>
        <w:trPr>
          <w:trHeight w:val="142"/>
        </w:trPr>
        <w:tc>
          <w:tcPr>
            <w:tcW w:w="5500" w:type="dxa"/>
            <w:vAlign w:val="bottom"/>
          </w:tcPr>
          <w:p>
            <w:pPr>
              <w:ind w:left="420"/>
              <w:spacing w:after="0" w:line="142" w:lineRule="exact"/>
              <w:rPr>
                <w:sz w:val="20"/>
                <w:szCs w:val="20"/>
                <w:color w:val="auto"/>
              </w:rPr>
            </w:pPr>
            <w:r>
              <w:rPr>
                <w:rFonts w:ascii="Arial" w:cs="Arial" w:eastAsia="Arial" w:hAnsi="Arial"/>
                <w:sz w:val="13"/>
                <w:szCs w:val="13"/>
                <w:color w:val="auto"/>
              </w:rPr>
              <w:t>Total current liabilities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183,899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263,813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273,656</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Deferred revenue</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704</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937</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1,226</w:t>
            </w: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3"/>
                <w:szCs w:val="13"/>
                <w:color w:val="auto"/>
              </w:rPr>
              <w:t>Other liabilities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2,644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3,927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4,290</w:t>
            </w:r>
          </w:p>
        </w:tc>
      </w:tr>
      <w:tr>
        <w:trPr>
          <w:trHeight w:val="135"/>
        </w:trPr>
        <w:tc>
          <w:tcPr>
            <w:tcW w:w="5500" w:type="dxa"/>
            <w:vAlign w:val="bottom"/>
            <w:shd w:val="clear" w:color="auto" w:fill="DDDDDD"/>
          </w:tcPr>
          <w:p>
            <w:pPr>
              <w:ind w:left="420"/>
              <w:spacing w:after="0" w:line="135" w:lineRule="exact"/>
              <w:rPr>
                <w:sz w:val="20"/>
                <w:szCs w:val="20"/>
                <w:color w:val="auto"/>
              </w:rPr>
            </w:pPr>
            <w:r>
              <w:rPr>
                <w:rFonts w:ascii="Arial" w:cs="Arial" w:eastAsia="Arial" w:hAnsi="Arial"/>
                <w:sz w:val="13"/>
                <w:szCs w:val="13"/>
                <w:color w:val="auto"/>
              </w:rPr>
              <w:t>Total liabilities</w:t>
            </w:r>
          </w:p>
        </w:tc>
        <w:tc>
          <w:tcPr>
            <w:tcW w:w="20" w:type="dxa"/>
            <w:vAlign w:val="bottom"/>
            <w:shd w:val="clear" w:color="auto" w:fill="DDDDDD"/>
          </w:tcPr>
          <w:p>
            <w:pPr>
              <w:spacing w:after="0"/>
              <w:rPr>
                <w:sz w:val="11"/>
                <w:szCs w:val="11"/>
                <w:color w:val="auto"/>
              </w:rPr>
            </w:pPr>
          </w:p>
        </w:tc>
        <w:tc>
          <w:tcPr>
            <w:tcW w:w="104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187,247</w:t>
            </w:r>
          </w:p>
        </w:tc>
        <w:tc>
          <w:tcPr>
            <w:tcW w:w="120" w:type="dxa"/>
            <w:vAlign w:val="bottom"/>
            <w:shd w:val="clear" w:color="auto" w:fill="DDDDDD"/>
          </w:tcPr>
          <w:p>
            <w:pPr>
              <w:spacing w:after="0"/>
              <w:rPr>
                <w:sz w:val="11"/>
                <w:szCs w:val="11"/>
                <w:color w:val="auto"/>
              </w:rPr>
            </w:pPr>
          </w:p>
        </w:tc>
        <w:tc>
          <w:tcPr>
            <w:tcW w:w="540" w:type="dxa"/>
            <w:vAlign w:val="bottom"/>
            <w:tcBorders>
              <w:bottom w:val="single" w:sz="8" w:color="auto"/>
            </w:tcBorders>
            <w:shd w:val="clear" w:color="auto" w:fill="DDDDDD"/>
          </w:tcPr>
          <w:p>
            <w:pPr>
              <w:spacing w:after="0"/>
              <w:rPr>
                <w:sz w:val="11"/>
                <w:szCs w:val="11"/>
                <w:color w:val="auto"/>
              </w:rPr>
            </w:pPr>
          </w:p>
        </w:tc>
        <w:tc>
          <w:tcPr>
            <w:tcW w:w="12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268,677</w:t>
            </w:r>
          </w:p>
        </w:tc>
        <w:tc>
          <w:tcPr>
            <w:tcW w:w="100" w:type="dxa"/>
            <w:vAlign w:val="bottom"/>
            <w:shd w:val="clear" w:color="auto" w:fill="DDDDDD"/>
          </w:tcPr>
          <w:p>
            <w:pPr>
              <w:spacing w:after="0"/>
              <w:rPr>
                <w:sz w:val="11"/>
                <w:szCs w:val="11"/>
                <w:color w:val="auto"/>
              </w:rPr>
            </w:pPr>
          </w:p>
        </w:tc>
        <w:tc>
          <w:tcPr>
            <w:tcW w:w="340" w:type="dxa"/>
            <w:vAlign w:val="bottom"/>
            <w:tcBorders>
              <w:bottom w:val="single" w:sz="8" w:color="auto"/>
            </w:tcBorders>
            <w:shd w:val="clear" w:color="auto" w:fill="DDDDDD"/>
          </w:tcPr>
          <w:p>
            <w:pPr>
              <w:spacing w:after="0"/>
              <w:rPr>
                <w:sz w:val="11"/>
                <w:szCs w:val="11"/>
                <w:color w:val="auto"/>
              </w:rPr>
            </w:pPr>
          </w:p>
        </w:tc>
        <w:tc>
          <w:tcPr>
            <w:tcW w:w="146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279,172</w:t>
            </w:r>
          </w:p>
        </w:tc>
      </w:tr>
      <w:tr>
        <w:trPr>
          <w:trHeight w:val="142"/>
        </w:trPr>
        <w:tc>
          <w:tcPr>
            <w:tcW w:w="5500" w:type="dxa"/>
            <w:vAlign w:val="bottom"/>
          </w:tcPr>
          <w:p>
            <w:pPr>
              <w:spacing w:after="0" w:line="142" w:lineRule="exact"/>
              <w:rPr>
                <w:sz w:val="20"/>
                <w:szCs w:val="20"/>
                <w:color w:val="auto"/>
              </w:rPr>
            </w:pPr>
            <w:r>
              <w:rPr>
                <w:rFonts w:ascii="Arial" w:cs="Arial" w:eastAsia="Arial" w:hAnsi="Arial"/>
                <w:sz w:val="13"/>
                <w:szCs w:val="13"/>
                <w:color w:val="auto"/>
              </w:rPr>
              <w:t>COMMITMENTS AND CONTINGENCIES (Note 7)</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REDEEMABLE CONVERTIBLE PREFERRED STOCK</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spacing w:after="0"/>
              <w:rPr>
                <w:sz w:val="11"/>
                <w:szCs w:val="11"/>
                <w:color w:val="auto"/>
              </w:rPr>
            </w:pPr>
          </w:p>
        </w:tc>
      </w:tr>
      <w:tr>
        <w:trPr>
          <w:trHeight w:val="129"/>
        </w:trPr>
        <w:tc>
          <w:tcPr>
            <w:tcW w:w="5500" w:type="dxa"/>
            <w:vAlign w:val="bottom"/>
          </w:tcPr>
          <w:p>
            <w:pPr>
              <w:spacing w:after="0" w:line="129" w:lineRule="exact"/>
              <w:rPr>
                <w:sz w:val="20"/>
                <w:szCs w:val="20"/>
                <w:color w:val="auto"/>
              </w:rPr>
            </w:pPr>
            <w:r>
              <w:rPr>
                <w:rFonts w:ascii="Arial" w:cs="Arial" w:eastAsia="Arial" w:hAnsi="Arial"/>
                <w:sz w:val="13"/>
                <w:szCs w:val="13"/>
                <w:color w:val="auto"/>
              </w:rPr>
              <w:t>Redeemable convertible preferred stock, $0.00001 par value - 79,635,385, 86,348,646, and</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5500" w:type="dxa"/>
            <w:vAlign w:val="bottom"/>
          </w:tcPr>
          <w:p>
            <w:pPr>
              <w:ind w:left="100"/>
              <w:spacing w:after="0" w:line="135" w:lineRule="exact"/>
              <w:rPr>
                <w:sz w:val="20"/>
                <w:szCs w:val="20"/>
                <w:color w:val="auto"/>
              </w:rPr>
            </w:pPr>
            <w:r>
              <w:rPr>
                <w:rFonts w:ascii="Arial" w:cs="Arial" w:eastAsia="Arial" w:hAnsi="Arial"/>
                <w:sz w:val="13"/>
                <w:szCs w:val="13"/>
                <w:color w:val="auto"/>
              </w:rPr>
              <w:t>86,348,646 shares authorized; 79,472,483, 85,391,338, and 85,403,933 shares issued and</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5500" w:type="dxa"/>
            <w:vAlign w:val="bottom"/>
          </w:tcPr>
          <w:p>
            <w:pPr>
              <w:ind w:left="100"/>
              <w:spacing w:after="0" w:line="135" w:lineRule="exact"/>
              <w:rPr>
                <w:sz w:val="20"/>
                <w:szCs w:val="20"/>
                <w:color w:val="auto"/>
              </w:rPr>
            </w:pPr>
            <w:r>
              <w:rPr>
                <w:rFonts w:ascii="Arial" w:cs="Arial" w:eastAsia="Arial" w:hAnsi="Arial"/>
                <w:sz w:val="13"/>
                <w:szCs w:val="13"/>
                <w:color w:val="auto"/>
              </w:rPr>
              <w:t>outstanding; and aggregate liquidation value of $153,178, $274,009, and $274,011 as of</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1"/>
        </w:trPr>
        <w:tc>
          <w:tcPr>
            <w:tcW w:w="5500" w:type="dxa"/>
            <w:vAlign w:val="bottom"/>
          </w:tcPr>
          <w:p>
            <w:pPr>
              <w:ind w:left="100"/>
              <w:spacing w:after="0" w:line="141" w:lineRule="exact"/>
              <w:rPr>
                <w:sz w:val="20"/>
                <w:szCs w:val="20"/>
                <w:color w:val="auto"/>
              </w:rPr>
            </w:pPr>
            <w:r>
              <w:rPr>
                <w:rFonts w:ascii="Arial" w:cs="Arial" w:eastAsia="Arial" w:hAnsi="Arial"/>
                <w:sz w:val="13"/>
                <w:szCs w:val="13"/>
                <w:color w:val="auto"/>
              </w:rPr>
              <w:t>December 31, 2019, December 31, 2020, and June 30, 2021 (unaudited), respectively.</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155,645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ind w:right="77"/>
              <w:spacing w:after="0" w:line="141" w:lineRule="exact"/>
              <w:rPr>
                <w:sz w:val="20"/>
                <w:szCs w:val="20"/>
                <w:color w:val="auto"/>
              </w:rPr>
            </w:pPr>
            <w:r>
              <w:rPr>
                <w:rFonts w:ascii="Arial" w:cs="Arial" w:eastAsia="Arial" w:hAnsi="Arial"/>
                <w:sz w:val="13"/>
                <w:szCs w:val="13"/>
                <w:color w:val="auto"/>
              </w:rPr>
              <w:t>274,104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right"/>
              <w:ind w:right="97"/>
              <w:spacing w:after="0" w:line="141" w:lineRule="exact"/>
              <w:rPr>
                <w:sz w:val="20"/>
                <w:szCs w:val="20"/>
                <w:color w:val="auto"/>
              </w:rPr>
            </w:pPr>
            <w:r>
              <w:rPr>
                <w:rFonts w:ascii="Arial" w:cs="Arial" w:eastAsia="Arial" w:hAnsi="Arial"/>
                <w:sz w:val="13"/>
                <w:szCs w:val="13"/>
                <w:color w:val="auto"/>
              </w:rPr>
              <w:t>274,267</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STOCKHOLDERS’ DEFICIT:</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spacing w:after="0"/>
              <w:rPr>
                <w:sz w:val="11"/>
                <w:szCs w:val="11"/>
                <w:color w:val="auto"/>
              </w:rPr>
            </w:pPr>
          </w:p>
        </w:tc>
      </w:tr>
      <w:tr>
        <w:trPr>
          <w:trHeight w:val="129"/>
        </w:trPr>
        <w:tc>
          <w:tcPr>
            <w:tcW w:w="5500" w:type="dxa"/>
            <w:vAlign w:val="bottom"/>
          </w:tcPr>
          <w:p>
            <w:pPr>
              <w:spacing w:after="0" w:line="129" w:lineRule="exact"/>
              <w:rPr>
                <w:sz w:val="20"/>
                <w:szCs w:val="20"/>
                <w:color w:val="auto"/>
              </w:rPr>
            </w:pPr>
            <w:r>
              <w:rPr>
                <w:rFonts w:ascii="Arial" w:cs="Arial" w:eastAsia="Arial" w:hAnsi="Arial"/>
                <w:sz w:val="13"/>
                <w:szCs w:val="13"/>
                <w:color w:val="auto"/>
              </w:rPr>
              <w:t>Common stock, $0.00001 par value - 130,000,000, 150,000,000 and 150,000,000 shares</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35"/>
        </w:trPr>
        <w:tc>
          <w:tcPr>
            <w:tcW w:w="5500" w:type="dxa"/>
            <w:vAlign w:val="bottom"/>
          </w:tcPr>
          <w:p>
            <w:pPr>
              <w:ind w:left="100"/>
              <w:spacing w:after="0" w:line="135" w:lineRule="exact"/>
              <w:rPr>
                <w:sz w:val="20"/>
                <w:szCs w:val="20"/>
                <w:color w:val="auto"/>
              </w:rPr>
            </w:pPr>
            <w:r>
              <w:rPr>
                <w:rFonts w:ascii="Arial" w:cs="Arial" w:eastAsia="Arial" w:hAnsi="Arial"/>
                <w:sz w:val="13"/>
                <w:szCs w:val="13"/>
                <w:color w:val="auto"/>
                <w:w w:val="99"/>
              </w:rPr>
              <w:t>authorized; and 30,619,605, 35,627,503, and 37,523,533 shares issued and outstanding as of</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1"/>
        </w:trPr>
        <w:tc>
          <w:tcPr>
            <w:tcW w:w="5500" w:type="dxa"/>
            <w:vAlign w:val="bottom"/>
          </w:tcPr>
          <w:p>
            <w:pPr>
              <w:ind w:left="100"/>
              <w:spacing w:after="0" w:line="141" w:lineRule="exact"/>
              <w:rPr>
                <w:sz w:val="20"/>
                <w:szCs w:val="20"/>
                <w:color w:val="auto"/>
              </w:rPr>
            </w:pPr>
            <w:r>
              <w:rPr>
                <w:rFonts w:ascii="Arial" w:cs="Arial" w:eastAsia="Arial" w:hAnsi="Arial"/>
                <w:sz w:val="13"/>
                <w:szCs w:val="13"/>
                <w:color w:val="auto"/>
              </w:rPr>
              <w:t>December 31, 2019, December 31, 2020, and June 30, 2021 (unaudited), respectively.</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right"/>
              <w:ind w:right="97"/>
              <w:spacing w:after="0" w:line="141" w:lineRule="exact"/>
              <w:rPr>
                <w:sz w:val="20"/>
                <w:szCs w:val="20"/>
                <w:color w:val="auto"/>
              </w:rPr>
            </w:pPr>
            <w:r>
              <w:rPr>
                <w:rFonts w:ascii="Arial" w:cs="Arial" w:eastAsia="Arial" w:hAnsi="Arial"/>
                <w:sz w:val="13"/>
                <w:szCs w:val="13"/>
                <w:color w:val="auto"/>
              </w:rPr>
              <w:t>—</w:t>
            </w:r>
          </w:p>
        </w:tc>
      </w:tr>
      <w:tr>
        <w:trPr>
          <w:trHeight w:val="135"/>
        </w:trPr>
        <w:tc>
          <w:tcPr>
            <w:tcW w:w="550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Additional paid-in capital</w:t>
            </w:r>
          </w:p>
        </w:tc>
        <w:tc>
          <w:tcPr>
            <w:tcW w:w="20" w:type="dxa"/>
            <w:vAlign w:val="bottom"/>
            <w:shd w:val="clear" w:color="auto" w:fill="DDDDDD"/>
          </w:tcPr>
          <w:p>
            <w:pPr>
              <w:spacing w:after="0"/>
              <w:rPr>
                <w:sz w:val="11"/>
                <w:szCs w:val="11"/>
                <w:color w:val="auto"/>
              </w:rPr>
            </w:pPr>
          </w:p>
        </w:tc>
        <w:tc>
          <w:tcPr>
            <w:tcW w:w="104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75,293</w:t>
            </w:r>
          </w:p>
        </w:tc>
        <w:tc>
          <w:tcPr>
            <w:tcW w:w="120" w:type="dxa"/>
            <w:vAlign w:val="bottom"/>
            <w:shd w:val="clear" w:color="auto" w:fill="DDDDDD"/>
          </w:tcPr>
          <w:p>
            <w:pPr>
              <w:spacing w:after="0"/>
              <w:rPr>
                <w:sz w:val="11"/>
                <w:szCs w:val="11"/>
                <w:color w:val="auto"/>
              </w:rPr>
            </w:pPr>
          </w:p>
        </w:tc>
        <w:tc>
          <w:tcPr>
            <w:tcW w:w="540" w:type="dxa"/>
            <w:vAlign w:val="bottom"/>
            <w:shd w:val="clear" w:color="auto" w:fill="DDDDDD"/>
          </w:tcPr>
          <w:p>
            <w:pPr>
              <w:spacing w:after="0"/>
              <w:rPr>
                <w:sz w:val="11"/>
                <w:szCs w:val="11"/>
                <w:color w:val="auto"/>
              </w:rPr>
            </w:pPr>
          </w:p>
        </w:tc>
        <w:tc>
          <w:tcPr>
            <w:tcW w:w="12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117,818</w:t>
            </w:r>
          </w:p>
        </w:tc>
        <w:tc>
          <w:tcPr>
            <w:tcW w:w="10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146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141,112</w:t>
            </w:r>
          </w:p>
        </w:tc>
      </w:tr>
      <w:tr>
        <w:trPr>
          <w:trHeight w:val="142"/>
        </w:trPr>
        <w:tc>
          <w:tcPr>
            <w:tcW w:w="5500" w:type="dxa"/>
            <w:vAlign w:val="bottom"/>
          </w:tcPr>
          <w:p>
            <w:pPr>
              <w:spacing w:after="0" w:line="135" w:lineRule="exact"/>
              <w:rPr>
                <w:sz w:val="20"/>
                <w:szCs w:val="20"/>
                <w:color w:val="auto"/>
              </w:rPr>
            </w:pPr>
            <w:r>
              <w:rPr>
                <w:rFonts w:ascii="Arial" w:cs="Arial" w:eastAsia="Arial" w:hAnsi="Arial"/>
                <w:sz w:val="13"/>
                <w:szCs w:val="13"/>
                <w:color w:val="auto"/>
              </w:rPr>
              <w:t>Accumulated deficit</w:t>
            </w:r>
          </w:p>
        </w:tc>
        <w:tc>
          <w:tcPr>
            <w:tcW w:w="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(300,883)</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(378,503)</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(407,883)</w:t>
            </w:r>
          </w:p>
        </w:tc>
      </w:tr>
      <w:tr>
        <w:trPr>
          <w:trHeight w:val="135"/>
        </w:trPr>
        <w:tc>
          <w:tcPr>
            <w:tcW w:w="5500" w:type="dxa"/>
            <w:vAlign w:val="bottom"/>
            <w:shd w:val="clear" w:color="auto" w:fill="DDDDDD"/>
          </w:tcPr>
          <w:p>
            <w:pPr>
              <w:ind w:left="420"/>
              <w:spacing w:after="0" w:line="135" w:lineRule="exact"/>
              <w:rPr>
                <w:sz w:val="20"/>
                <w:szCs w:val="20"/>
                <w:color w:val="auto"/>
              </w:rPr>
            </w:pPr>
            <w:r>
              <w:rPr>
                <w:rFonts w:ascii="Arial" w:cs="Arial" w:eastAsia="Arial" w:hAnsi="Arial"/>
                <w:sz w:val="13"/>
                <w:szCs w:val="13"/>
                <w:color w:val="auto"/>
              </w:rPr>
              <w:t>Total stockholders’ deficit</w:t>
            </w:r>
          </w:p>
        </w:tc>
        <w:tc>
          <w:tcPr>
            <w:tcW w:w="20" w:type="dxa"/>
            <w:vAlign w:val="bottom"/>
            <w:shd w:val="clear" w:color="auto" w:fill="DDDDDD"/>
          </w:tcPr>
          <w:p>
            <w:pPr>
              <w:spacing w:after="0"/>
              <w:rPr>
                <w:sz w:val="11"/>
                <w:szCs w:val="11"/>
                <w:color w:val="auto"/>
              </w:rPr>
            </w:pPr>
          </w:p>
        </w:tc>
        <w:tc>
          <w:tcPr>
            <w:tcW w:w="104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(225,590)</w:t>
            </w:r>
          </w:p>
        </w:tc>
        <w:tc>
          <w:tcPr>
            <w:tcW w:w="120" w:type="dxa"/>
            <w:vAlign w:val="bottom"/>
            <w:shd w:val="clear" w:color="auto" w:fill="DDDDDD"/>
          </w:tcPr>
          <w:p>
            <w:pPr>
              <w:spacing w:after="0"/>
              <w:rPr>
                <w:sz w:val="11"/>
                <w:szCs w:val="11"/>
                <w:color w:val="auto"/>
              </w:rPr>
            </w:pPr>
          </w:p>
        </w:tc>
        <w:tc>
          <w:tcPr>
            <w:tcW w:w="540" w:type="dxa"/>
            <w:vAlign w:val="bottom"/>
            <w:tcBorders>
              <w:bottom w:val="single" w:sz="8" w:color="auto"/>
            </w:tcBorders>
            <w:shd w:val="clear" w:color="auto" w:fill="DDDDDD"/>
          </w:tcPr>
          <w:p>
            <w:pPr>
              <w:spacing w:after="0"/>
              <w:rPr>
                <w:sz w:val="11"/>
                <w:szCs w:val="11"/>
                <w:color w:val="auto"/>
              </w:rPr>
            </w:pPr>
          </w:p>
        </w:tc>
        <w:tc>
          <w:tcPr>
            <w:tcW w:w="1220" w:type="dxa"/>
            <w:vAlign w:val="bottom"/>
            <w:tcBorders>
              <w:bottom w:val="single" w:sz="8" w:color="auto"/>
            </w:tcBorders>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(260,685)</w:t>
            </w:r>
          </w:p>
        </w:tc>
        <w:tc>
          <w:tcPr>
            <w:tcW w:w="100" w:type="dxa"/>
            <w:vAlign w:val="bottom"/>
            <w:shd w:val="clear" w:color="auto" w:fill="DDDDDD"/>
          </w:tcPr>
          <w:p>
            <w:pPr>
              <w:spacing w:after="0"/>
              <w:rPr>
                <w:sz w:val="11"/>
                <w:szCs w:val="11"/>
                <w:color w:val="auto"/>
              </w:rPr>
            </w:pPr>
          </w:p>
        </w:tc>
        <w:tc>
          <w:tcPr>
            <w:tcW w:w="340" w:type="dxa"/>
            <w:vAlign w:val="bottom"/>
            <w:tcBorders>
              <w:bottom w:val="single" w:sz="8" w:color="auto"/>
            </w:tcBorders>
            <w:shd w:val="clear" w:color="auto" w:fill="DDDDDD"/>
          </w:tcPr>
          <w:p>
            <w:pPr>
              <w:spacing w:after="0"/>
              <w:rPr>
                <w:sz w:val="11"/>
                <w:szCs w:val="11"/>
                <w:color w:val="auto"/>
              </w:rPr>
            </w:pPr>
          </w:p>
        </w:tc>
        <w:tc>
          <w:tcPr>
            <w:tcW w:w="146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(266,771)</w:t>
            </w:r>
          </w:p>
        </w:tc>
      </w:tr>
      <w:tr>
        <w:trPr>
          <w:trHeight w:val="136"/>
        </w:trPr>
        <w:tc>
          <w:tcPr>
            <w:tcW w:w="5500" w:type="dxa"/>
            <w:vAlign w:val="bottom"/>
          </w:tcPr>
          <w:p>
            <w:pPr>
              <w:spacing w:after="0" w:line="136" w:lineRule="exact"/>
              <w:rPr>
                <w:sz w:val="20"/>
                <w:szCs w:val="20"/>
                <w:color w:val="auto"/>
              </w:rPr>
            </w:pPr>
            <w:r>
              <w:rPr>
                <w:rFonts w:ascii="Arial" w:cs="Arial" w:eastAsia="Arial" w:hAnsi="Arial"/>
                <w:sz w:val="13"/>
                <w:szCs w:val="13"/>
                <w:color w:val="auto"/>
              </w:rPr>
              <w:t>TOTAL LIABILITIES, REDEEMABLE CONVERTIBLE PREFERRED STOCK, AND</w:t>
            </w: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1"/>
        </w:trPr>
        <w:tc>
          <w:tcPr>
            <w:tcW w:w="5500" w:type="dxa"/>
            <w:vAlign w:val="bottom"/>
          </w:tcPr>
          <w:p>
            <w:pPr>
              <w:ind w:left="100"/>
              <w:spacing w:after="0" w:line="141" w:lineRule="exact"/>
              <w:rPr>
                <w:sz w:val="20"/>
                <w:szCs w:val="20"/>
                <w:color w:val="auto"/>
              </w:rPr>
            </w:pPr>
            <w:r>
              <w:rPr>
                <w:rFonts w:ascii="Arial" w:cs="Arial" w:eastAsia="Arial" w:hAnsi="Arial"/>
                <w:sz w:val="13"/>
                <w:szCs w:val="13"/>
                <w:color w:val="auto"/>
              </w:rPr>
              <w:t>STOCKHOLDERS’ DEFICIT</w:t>
            </w:r>
          </w:p>
        </w:tc>
        <w:tc>
          <w:tcPr>
            <w:tcW w:w="1060" w:type="dxa"/>
            <w:vAlign w:val="bottom"/>
            <w:gridSpan w:val="2"/>
          </w:tcPr>
          <w:p>
            <w:pPr>
              <w:jc w:val="right"/>
              <w:ind w:right="93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117,302</w:t>
            </w:r>
          </w:p>
        </w:tc>
        <w:tc>
          <w:tcPr>
            <w:tcW w:w="6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77"/>
              <w:spacing w:after="0" w:line="141" w:lineRule="exact"/>
              <w:rPr>
                <w:sz w:val="20"/>
                <w:szCs w:val="20"/>
                <w:color w:val="auto"/>
              </w:rPr>
            </w:pPr>
            <w:r>
              <w:rPr>
                <w:rFonts w:ascii="Arial" w:cs="Arial" w:eastAsia="Arial" w:hAnsi="Arial"/>
                <w:sz w:val="13"/>
                <w:szCs w:val="13"/>
                <w:color w:val="auto"/>
              </w:rPr>
              <w:t>282,096</w:t>
            </w:r>
          </w:p>
        </w:tc>
        <w:tc>
          <w:tcPr>
            <w:tcW w:w="4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97"/>
              <w:spacing w:after="0" w:line="141" w:lineRule="exact"/>
              <w:rPr>
                <w:sz w:val="20"/>
                <w:szCs w:val="20"/>
                <w:color w:val="auto"/>
              </w:rPr>
            </w:pPr>
            <w:r>
              <w:rPr>
                <w:rFonts w:ascii="Arial" w:cs="Arial" w:eastAsia="Arial" w:hAnsi="Arial"/>
                <w:sz w:val="13"/>
                <w:szCs w:val="13"/>
                <w:color w:val="auto"/>
              </w:rPr>
              <w:t>286,668</w:t>
            </w: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jc w:val="center"/>
        <w:ind w:left="4660"/>
        <w:spacing w:after="0"/>
        <w:rPr>
          <w:sz w:val="20"/>
          <w:szCs w:val="20"/>
          <w:color w:val="auto"/>
        </w:rPr>
      </w:pPr>
      <w:r>
        <w:rPr>
          <w:rFonts w:ascii="Arial" w:cs="Arial" w:eastAsia="Arial" w:hAnsi="Arial"/>
          <w:sz w:val="13"/>
          <w:szCs w:val="13"/>
          <w:b w:val="1"/>
          <w:bCs w:val="1"/>
          <w:color w:val="auto"/>
        </w:rPr>
        <w:t>Year Ended December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4445</wp:posOffset>
            </wp:positionV>
            <wp:extent cx="1954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5300"/>
        <w:spacing w:after="0"/>
        <w:tabs>
          <w:tab w:leader="none" w:pos="694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4445</wp:posOffset>
            </wp:positionV>
            <wp:extent cx="19716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tabs>
          <w:tab w:leader="none" w:pos="16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3" w:lineRule="exact"/>
        <w:rPr>
          <w:sz w:val="20"/>
          <w:szCs w:val="20"/>
          <w:color w:val="auto"/>
        </w:rPr>
      </w:pPr>
    </w:p>
    <w:p>
      <w:pPr>
        <w:sectPr>
          <w:pgSz w:w="11900" w:h="16838" w:orient="portrait"/>
          <w:cols w:equalWidth="0" w:num="2">
            <w:col w:w="7880" w:space="720"/>
            <w:col w:w="25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54"/>
        </w:trPr>
        <w:tc>
          <w:tcPr>
            <w:tcW w:w="46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(unaudited)</w:t>
            </w:r>
          </w:p>
        </w:tc>
        <w:tc>
          <w:tcPr>
            <w:tcW w:w="1020" w:type="dxa"/>
            <w:vAlign w:val="bottom"/>
            <w:tcBorders>
              <w:top w:val="single" w:sz="8" w:color="auto"/>
            </w:tcBorders>
          </w:tcPr>
          <w:p>
            <w:pPr>
              <w:spacing w:after="0"/>
              <w:rPr>
                <w:sz w:val="13"/>
                <w:szCs w:val="13"/>
                <w:color w:val="auto"/>
              </w:rPr>
            </w:pPr>
          </w:p>
        </w:tc>
      </w:tr>
      <w:tr>
        <w:trPr>
          <w:trHeight w:val="137"/>
        </w:trPr>
        <w:tc>
          <w:tcPr>
            <w:tcW w:w="4620" w:type="dxa"/>
            <w:vAlign w:val="bottom"/>
            <w:shd w:val="clear" w:color="auto" w:fill="DDDDDD"/>
          </w:tcPr>
          <w:p>
            <w:pPr>
              <w:spacing w:after="0" w:line="137" w:lineRule="exact"/>
              <w:rPr>
                <w:sz w:val="20"/>
                <w:szCs w:val="20"/>
                <w:color w:val="auto"/>
              </w:rPr>
            </w:pPr>
            <w:r>
              <w:rPr>
                <w:rFonts w:ascii="Arial" w:cs="Arial" w:eastAsia="Arial" w:hAnsi="Arial"/>
                <w:sz w:val="13"/>
                <w:szCs w:val="13"/>
                <w:color w:val="auto"/>
              </w:rPr>
              <w:t>REVENUES</w:t>
            </w:r>
          </w:p>
        </w:tc>
        <w:tc>
          <w:tcPr>
            <w:tcW w:w="360" w:type="dxa"/>
            <w:vAlign w:val="bottom"/>
            <w:shd w:val="clear" w:color="auto" w:fill="DDDDDD"/>
          </w:tcPr>
          <w:p>
            <w:pPr>
              <w:jc w:val="right"/>
              <w:ind w:right="24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DDDDDD"/>
          </w:tcPr>
          <w:p>
            <w:pPr>
              <w:jc w:val="right"/>
              <w:ind w:right="77"/>
              <w:spacing w:after="0" w:line="137" w:lineRule="exact"/>
              <w:rPr>
                <w:sz w:val="20"/>
                <w:szCs w:val="20"/>
                <w:color w:val="auto"/>
              </w:rPr>
            </w:pPr>
            <w:r>
              <w:rPr>
                <w:rFonts w:ascii="Arial" w:cs="Arial" w:eastAsia="Arial" w:hAnsi="Arial"/>
                <w:sz w:val="13"/>
                <w:szCs w:val="13"/>
                <w:color w:val="auto"/>
              </w:rPr>
              <w:t>276,327</w:t>
            </w:r>
          </w:p>
        </w:tc>
        <w:tc>
          <w:tcPr>
            <w:tcW w:w="580" w:type="dxa"/>
            <w:vAlign w:val="bottom"/>
            <w:gridSpan w:val="2"/>
            <w:shd w:val="clear" w:color="auto" w:fill="DDDDDD"/>
          </w:tcPr>
          <w:p>
            <w:pPr>
              <w:jc w:val="right"/>
              <w:ind w:right="280"/>
              <w:spacing w:after="0" w:line="137" w:lineRule="exact"/>
              <w:rPr>
                <w:sz w:val="20"/>
                <w:szCs w:val="20"/>
                <w:color w:val="auto"/>
              </w:rPr>
            </w:pPr>
            <w:r>
              <w:rPr>
                <w:rFonts w:ascii="Arial" w:cs="Arial" w:eastAsia="Arial" w:hAnsi="Arial"/>
                <w:sz w:val="13"/>
                <w:szCs w:val="13"/>
                <w:color w:val="auto"/>
              </w:rPr>
              <w:t>$</w:t>
            </w:r>
          </w:p>
        </w:tc>
        <w:tc>
          <w:tcPr>
            <w:tcW w:w="1080" w:type="dxa"/>
            <w:vAlign w:val="bottom"/>
            <w:shd w:val="clear" w:color="auto" w:fill="DDDDDD"/>
          </w:tcPr>
          <w:p>
            <w:pPr>
              <w:jc w:val="right"/>
              <w:ind w:right="97"/>
              <w:spacing w:after="0" w:line="137" w:lineRule="exact"/>
              <w:rPr>
                <w:sz w:val="20"/>
                <w:szCs w:val="20"/>
                <w:color w:val="auto"/>
              </w:rPr>
            </w:pPr>
            <w:r>
              <w:rPr>
                <w:rFonts w:ascii="Arial" w:cs="Arial" w:eastAsia="Arial" w:hAnsi="Arial"/>
                <w:sz w:val="13"/>
                <w:szCs w:val="13"/>
                <w:color w:val="auto"/>
              </w:rPr>
              <w:t>429,899</w:t>
            </w:r>
          </w:p>
        </w:tc>
        <w:tc>
          <w:tcPr>
            <w:tcW w:w="560" w:type="dxa"/>
            <w:vAlign w:val="bottom"/>
            <w:gridSpan w:val="2"/>
            <w:shd w:val="clear" w:color="auto" w:fill="DDDDDD"/>
          </w:tcPr>
          <w:p>
            <w:pPr>
              <w:jc w:val="right"/>
              <w:ind w:right="280"/>
              <w:spacing w:after="0" w:line="137" w:lineRule="exact"/>
              <w:rPr>
                <w:sz w:val="20"/>
                <w:szCs w:val="20"/>
                <w:color w:val="auto"/>
              </w:rPr>
            </w:pPr>
            <w:r>
              <w:rPr>
                <w:rFonts w:ascii="Arial" w:cs="Arial" w:eastAsia="Arial" w:hAnsi="Arial"/>
                <w:sz w:val="13"/>
                <w:szCs w:val="13"/>
                <w:color w:val="auto"/>
              </w:rPr>
              <w:t>$</w:t>
            </w:r>
          </w:p>
        </w:tc>
        <w:tc>
          <w:tcPr>
            <w:tcW w:w="1080" w:type="dxa"/>
            <w:vAlign w:val="bottom"/>
            <w:shd w:val="clear" w:color="auto" w:fill="DDDDDD"/>
          </w:tcPr>
          <w:p>
            <w:pPr>
              <w:jc w:val="right"/>
              <w:ind w:right="77"/>
              <w:spacing w:after="0" w:line="137" w:lineRule="exact"/>
              <w:rPr>
                <w:sz w:val="20"/>
                <w:szCs w:val="20"/>
                <w:color w:val="auto"/>
              </w:rPr>
            </w:pPr>
            <w:r>
              <w:rPr>
                <w:rFonts w:ascii="Arial" w:cs="Arial" w:eastAsia="Arial" w:hAnsi="Arial"/>
                <w:sz w:val="13"/>
                <w:szCs w:val="13"/>
                <w:color w:val="auto"/>
              </w:rPr>
              <w:t>201,368</w:t>
            </w:r>
          </w:p>
        </w:tc>
        <w:tc>
          <w:tcPr>
            <w:tcW w:w="660" w:type="dxa"/>
            <w:vAlign w:val="bottom"/>
            <w:gridSpan w:val="2"/>
            <w:shd w:val="clear" w:color="auto" w:fill="DDDDDD"/>
          </w:tcPr>
          <w:p>
            <w:pPr>
              <w:jc w:val="right"/>
              <w:ind w:right="380"/>
              <w:spacing w:after="0" w:line="137" w:lineRule="exact"/>
              <w:rPr>
                <w:sz w:val="20"/>
                <w:szCs w:val="20"/>
                <w:color w:val="auto"/>
              </w:rPr>
            </w:pPr>
            <w:r>
              <w:rPr>
                <w:rFonts w:ascii="Arial" w:cs="Arial" w:eastAsia="Arial" w:hAnsi="Arial"/>
                <w:sz w:val="13"/>
                <w:szCs w:val="13"/>
                <w:color w:val="auto"/>
              </w:rPr>
              <w:t>$</w:t>
            </w:r>
          </w:p>
        </w:tc>
        <w:tc>
          <w:tcPr>
            <w:tcW w:w="1020" w:type="dxa"/>
            <w:vAlign w:val="bottom"/>
            <w:shd w:val="clear" w:color="auto" w:fill="DDDDDD"/>
          </w:tcPr>
          <w:p>
            <w:pPr>
              <w:jc w:val="right"/>
              <w:ind w:right="97"/>
              <w:spacing w:after="0" w:line="137" w:lineRule="exact"/>
              <w:rPr>
                <w:sz w:val="20"/>
                <w:szCs w:val="20"/>
                <w:color w:val="auto"/>
              </w:rPr>
            </w:pPr>
            <w:r>
              <w:rPr>
                <w:rFonts w:ascii="Arial" w:cs="Arial" w:eastAsia="Arial" w:hAnsi="Arial"/>
                <w:sz w:val="13"/>
                <w:szCs w:val="13"/>
                <w:color w:val="auto"/>
              </w:rPr>
              <w:t>250,643</w:t>
            </w:r>
          </w:p>
        </w:tc>
      </w:tr>
      <w:tr>
        <w:trPr>
          <w:trHeight w:val="142"/>
        </w:trPr>
        <w:tc>
          <w:tcPr>
            <w:tcW w:w="4620" w:type="dxa"/>
            <w:vAlign w:val="bottom"/>
          </w:tcPr>
          <w:p>
            <w:pPr>
              <w:spacing w:after="0" w:line="135" w:lineRule="exact"/>
              <w:rPr>
                <w:sz w:val="20"/>
                <w:szCs w:val="20"/>
                <w:color w:val="auto"/>
              </w:rPr>
            </w:pPr>
            <w:r>
              <w:rPr>
                <w:rFonts w:ascii="Arial" w:cs="Arial" w:eastAsia="Arial" w:hAnsi="Arial"/>
                <w:sz w:val="13"/>
                <w:szCs w:val="13"/>
                <w:color w:val="auto"/>
              </w:rPr>
              <w:t>COST OF REVENUES</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143,510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209,253</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104,670</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113,916</w:t>
            </w:r>
          </w:p>
        </w:tc>
      </w:tr>
      <w:tr>
        <w:trPr>
          <w:trHeight w:val="135"/>
        </w:trPr>
        <w:tc>
          <w:tcPr>
            <w:tcW w:w="462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GROSS PROFIT</w:t>
            </w:r>
          </w:p>
        </w:tc>
        <w:tc>
          <w:tcPr>
            <w:tcW w:w="360" w:type="dxa"/>
            <w:vAlign w:val="bottom"/>
            <w:tcBorders>
              <w:bottom w:val="single" w:sz="8" w:color="auto"/>
            </w:tcBorders>
            <w:shd w:val="clear" w:color="auto" w:fill="DDDDDD"/>
          </w:tcPr>
          <w:p>
            <w:pPr>
              <w:spacing w:after="0"/>
              <w:rPr>
                <w:sz w:val="11"/>
                <w:szCs w:val="11"/>
                <w:color w:val="auto"/>
              </w:rPr>
            </w:pPr>
          </w:p>
        </w:tc>
        <w:tc>
          <w:tcPr>
            <w:tcW w:w="106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132,817</w:t>
            </w:r>
          </w:p>
        </w:tc>
        <w:tc>
          <w:tcPr>
            <w:tcW w:w="22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220,646</w:t>
            </w:r>
          </w:p>
        </w:tc>
        <w:tc>
          <w:tcPr>
            <w:tcW w:w="20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96,698</w:t>
            </w:r>
          </w:p>
        </w:tc>
        <w:tc>
          <w:tcPr>
            <w:tcW w:w="220" w:type="dxa"/>
            <w:vAlign w:val="bottom"/>
            <w:shd w:val="clear" w:color="auto" w:fill="DDDDDD"/>
          </w:tcPr>
          <w:p>
            <w:pPr>
              <w:spacing w:after="0"/>
              <w:rPr>
                <w:sz w:val="11"/>
                <w:szCs w:val="11"/>
                <w:color w:val="auto"/>
              </w:rPr>
            </w:pPr>
          </w:p>
        </w:tc>
        <w:tc>
          <w:tcPr>
            <w:tcW w:w="440" w:type="dxa"/>
            <w:vAlign w:val="bottom"/>
            <w:tcBorders>
              <w:bottom w:val="single" w:sz="8" w:color="auto"/>
            </w:tcBorders>
            <w:shd w:val="clear" w:color="auto" w:fill="DDDDDD"/>
          </w:tcPr>
          <w:p>
            <w:pPr>
              <w:spacing w:after="0"/>
              <w:rPr>
                <w:sz w:val="11"/>
                <w:szCs w:val="11"/>
                <w:color w:val="auto"/>
              </w:rPr>
            </w:pPr>
          </w:p>
        </w:tc>
        <w:tc>
          <w:tcPr>
            <w:tcW w:w="102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136,727</w:t>
            </w: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3"/>
                <w:szCs w:val="13"/>
                <w:color w:val="auto"/>
              </w:rPr>
              <w:t>OPERATING EXPENSES: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5"/>
        </w:trPr>
        <w:tc>
          <w:tcPr>
            <w:tcW w:w="462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Sales and marketing</w:t>
            </w:r>
          </w:p>
        </w:tc>
        <w:tc>
          <w:tcPr>
            <w:tcW w:w="360" w:type="dxa"/>
            <w:vAlign w:val="bottom"/>
            <w:shd w:val="clear" w:color="auto" w:fill="DDDDDD"/>
          </w:tcPr>
          <w:p>
            <w:pPr>
              <w:spacing w:after="0"/>
              <w:rPr>
                <w:sz w:val="11"/>
                <w:szCs w:val="11"/>
                <w:color w:val="auto"/>
              </w:rPr>
            </w:pPr>
          </w:p>
        </w:tc>
        <w:tc>
          <w:tcPr>
            <w:tcW w:w="10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126,436</w:t>
            </w:r>
          </w:p>
        </w:tc>
        <w:tc>
          <w:tcPr>
            <w:tcW w:w="22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08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192,600</w:t>
            </w:r>
          </w:p>
        </w:tc>
        <w:tc>
          <w:tcPr>
            <w:tcW w:w="20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0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96,176</w:t>
            </w:r>
          </w:p>
        </w:tc>
        <w:tc>
          <w:tcPr>
            <w:tcW w:w="220" w:type="dxa"/>
            <w:vAlign w:val="bottom"/>
            <w:shd w:val="clear" w:color="auto" w:fill="DDDDDD"/>
          </w:tcPr>
          <w:p>
            <w:pPr>
              <w:spacing w:after="0"/>
              <w:rPr>
                <w:sz w:val="11"/>
                <w:szCs w:val="11"/>
                <w:color w:val="auto"/>
              </w:rPr>
            </w:pPr>
          </w:p>
        </w:tc>
        <w:tc>
          <w:tcPr>
            <w:tcW w:w="440" w:type="dxa"/>
            <w:vAlign w:val="bottom"/>
            <w:shd w:val="clear" w:color="auto" w:fill="DDDDDD"/>
          </w:tcPr>
          <w:p>
            <w:pPr>
              <w:spacing w:after="0"/>
              <w:rPr>
                <w:sz w:val="11"/>
                <w:szCs w:val="11"/>
                <w:color w:val="auto"/>
              </w:rPr>
            </w:pPr>
          </w:p>
        </w:tc>
        <w:tc>
          <w:tcPr>
            <w:tcW w:w="1020" w:type="dxa"/>
            <w:vAlign w:val="bottom"/>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104,141</w:t>
            </w:r>
          </w:p>
        </w:tc>
      </w:tr>
      <w:tr>
        <w:trPr>
          <w:trHeight w:val="135"/>
        </w:trPr>
        <w:tc>
          <w:tcPr>
            <w:tcW w:w="4620" w:type="dxa"/>
            <w:vAlign w:val="bottom"/>
          </w:tcPr>
          <w:p>
            <w:pPr>
              <w:ind w:left="220"/>
              <w:spacing w:after="0" w:line="135" w:lineRule="exact"/>
              <w:rPr>
                <w:sz w:val="20"/>
                <w:szCs w:val="20"/>
                <w:color w:val="auto"/>
              </w:rPr>
            </w:pPr>
            <w:r>
              <w:rPr>
                <w:rFonts w:ascii="Arial" w:cs="Arial" w:eastAsia="Arial" w:hAnsi="Arial"/>
                <w:sz w:val="13"/>
                <w:szCs w:val="13"/>
                <w:color w:val="auto"/>
              </w:rPr>
              <w:t>Research and development</w:t>
            </w:r>
          </w:p>
        </w:tc>
        <w:tc>
          <w:tcPr>
            <w:tcW w:w="360" w:type="dxa"/>
            <w:vAlign w:val="bottom"/>
          </w:tcPr>
          <w:p>
            <w:pPr>
              <w:spacing w:after="0"/>
              <w:rPr>
                <w:sz w:val="11"/>
                <w:szCs w:val="11"/>
                <w:color w:val="auto"/>
              </w:rPr>
            </w:pPr>
          </w:p>
        </w:tc>
        <w:tc>
          <w:tcPr>
            <w:tcW w:w="10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34,379</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50,643</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24,295</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30,196</w:t>
            </w:r>
          </w:p>
        </w:tc>
      </w:tr>
      <w:tr>
        <w:trPr>
          <w:trHeight w:val="135"/>
        </w:trPr>
        <w:tc>
          <w:tcPr>
            <w:tcW w:w="462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General and administrative</w:t>
            </w:r>
          </w:p>
        </w:tc>
        <w:tc>
          <w:tcPr>
            <w:tcW w:w="360" w:type="dxa"/>
            <w:vAlign w:val="bottom"/>
            <w:tcBorders>
              <w:bottom w:val="single" w:sz="8" w:color="auto"/>
            </w:tcBorders>
            <w:shd w:val="clear" w:color="auto" w:fill="DDDDDD"/>
          </w:tcPr>
          <w:p>
            <w:pPr>
              <w:spacing w:after="0"/>
              <w:rPr>
                <w:sz w:val="11"/>
                <w:szCs w:val="11"/>
                <w:color w:val="auto"/>
              </w:rPr>
            </w:pPr>
          </w:p>
        </w:tc>
        <w:tc>
          <w:tcPr>
            <w:tcW w:w="106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40,033</w:t>
            </w:r>
          </w:p>
        </w:tc>
        <w:tc>
          <w:tcPr>
            <w:tcW w:w="22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50,783</w:t>
            </w:r>
          </w:p>
        </w:tc>
        <w:tc>
          <w:tcPr>
            <w:tcW w:w="20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26,035</w:t>
            </w:r>
          </w:p>
        </w:tc>
        <w:tc>
          <w:tcPr>
            <w:tcW w:w="220" w:type="dxa"/>
            <w:vAlign w:val="bottom"/>
            <w:shd w:val="clear" w:color="auto" w:fill="DDDDDD"/>
          </w:tcPr>
          <w:p>
            <w:pPr>
              <w:spacing w:after="0"/>
              <w:rPr>
                <w:sz w:val="11"/>
                <w:szCs w:val="11"/>
                <w:color w:val="auto"/>
              </w:rPr>
            </w:pPr>
          </w:p>
        </w:tc>
        <w:tc>
          <w:tcPr>
            <w:tcW w:w="440" w:type="dxa"/>
            <w:vAlign w:val="bottom"/>
            <w:tcBorders>
              <w:bottom w:val="single" w:sz="8" w:color="auto"/>
            </w:tcBorders>
            <w:shd w:val="clear" w:color="auto" w:fill="DDDDDD"/>
          </w:tcPr>
          <w:p>
            <w:pPr>
              <w:spacing w:after="0"/>
              <w:rPr>
                <w:sz w:val="11"/>
                <w:szCs w:val="11"/>
                <w:color w:val="auto"/>
              </w:rPr>
            </w:pPr>
          </w:p>
        </w:tc>
        <w:tc>
          <w:tcPr>
            <w:tcW w:w="1020" w:type="dxa"/>
            <w:vAlign w:val="bottom"/>
            <w:tcBorders>
              <w:bottom w:val="single" w:sz="8" w:color="auto"/>
            </w:tcBorders>
            <w:shd w:val="clear" w:color="auto" w:fill="DDDDDD"/>
          </w:tcPr>
          <w:p>
            <w:pPr>
              <w:jc w:val="right"/>
              <w:ind w:right="97"/>
              <w:spacing w:after="0" w:line="135" w:lineRule="exact"/>
              <w:rPr>
                <w:sz w:val="20"/>
                <w:szCs w:val="20"/>
                <w:color w:val="auto"/>
              </w:rPr>
            </w:pPr>
            <w:r>
              <w:rPr>
                <w:rFonts w:ascii="Arial" w:cs="Arial" w:eastAsia="Arial" w:hAnsi="Arial"/>
                <w:sz w:val="13"/>
                <w:szCs w:val="13"/>
                <w:color w:val="auto"/>
              </w:rPr>
              <w:t>29,802</w:t>
            </w:r>
          </w:p>
        </w:tc>
      </w:tr>
      <w:tr>
        <w:trPr>
          <w:trHeight w:val="149"/>
        </w:trPr>
        <w:tc>
          <w:tcPr>
            <w:tcW w:w="4620" w:type="dxa"/>
            <w:vAlign w:val="bottom"/>
          </w:tcPr>
          <w:p>
            <w:pPr>
              <w:ind w:left="420"/>
              <w:spacing w:after="0" w:line="142" w:lineRule="exact"/>
              <w:rPr>
                <w:sz w:val="20"/>
                <w:szCs w:val="20"/>
                <w:color w:val="auto"/>
              </w:rPr>
            </w:pPr>
            <w:r>
              <w:rPr>
                <w:rFonts w:ascii="Arial" w:cs="Arial" w:eastAsia="Arial" w:hAnsi="Arial"/>
                <w:sz w:val="13"/>
                <w:szCs w:val="13"/>
                <w:color w:val="auto"/>
              </w:rPr>
              <w:t>Total operating expenses</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200,848</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294,026</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146,506</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164,139</w:t>
            </w:r>
          </w:p>
        </w:tc>
      </w:tr>
      <w:tr>
        <w:trPr>
          <w:trHeight w:val="135"/>
        </w:trPr>
        <w:tc>
          <w:tcPr>
            <w:tcW w:w="462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OPERATING LOSS</w:t>
            </w:r>
          </w:p>
        </w:tc>
        <w:tc>
          <w:tcPr>
            <w:tcW w:w="360" w:type="dxa"/>
            <w:vAlign w:val="bottom"/>
            <w:tcBorders>
              <w:bottom w:val="single" w:sz="8" w:color="auto"/>
            </w:tcBorders>
            <w:shd w:val="clear" w:color="auto" w:fill="DDDDDD"/>
          </w:tcPr>
          <w:p>
            <w:pPr>
              <w:spacing w:after="0"/>
              <w:rPr>
                <w:sz w:val="11"/>
                <w:szCs w:val="11"/>
                <w:color w:val="auto"/>
              </w:rPr>
            </w:pPr>
          </w:p>
        </w:tc>
        <w:tc>
          <w:tcPr>
            <w:tcW w:w="1060" w:type="dxa"/>
            <w:vAlign w:val="bottom"/>
            <w:tcBorders>
              <w:bottom w:val="single" w:sz="8" w:color="auto"/>
            </w:tcBorders>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(68,031)</w:t>
            </w:r>
          </w:p>
        </w:tc>
        <w:tc>
          <w:tcPr>
            <w:tcW w:w="22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(73,380)</w:t>
            </w:r>
          </w:p>
        </w:tc>
        <w:tc>
          <w:tcPr>
            <w:tcW w:w="20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(49,808)</w:t>
            </w:r>
          </w:p>
        </w:tc>
        <w:tc>
          <w:tcPr>
            <w:tcW w:w="220" w:type="dxa"/>
            <w:vAlign w:val="bottom"/>
            <w:shd w:val="clear" w:color="auto" w:fill="DDDDDD"/>
          </w:tcPr>
          <w:p>
            <w:pPr>
              <w:spacing w:after="0"/>
              <w:rPr>
                <w:sz w:val="11"/>
                <w:szCs w:val="11"/>
                <w:color w:val="auto"/>
              </w:rPr>
            </w:pPr>
          </w:p>
        </w:tc>
        <w:tc>
          <w:tcPr>
            <w:tcW w:w="440" w:type="dxa"/>
            <w:vAlign w:val="bottom"/>
            <w:tcBorders>
              <w:bottom w:val="single" w:sz="8" w:color="auto"/>
            </w:tcBorders>
            <w:shd w:val="clear" w:color="auto" w:fill="DDDDDD"/>
          </w:tcPr>
          <w:p>
            <w:pPr>
              <w:spacing w:after="0"/>
              <w:rPr>
                <w:sz w:val="11"/>
                <w:szCs w:val="11"/>
                <w:color w:val="auto"/>
              </w:rPr>
            </w:pPr>
          </w:p>
        </w:tc>
        <w:tc>
          <w:tcPr>
            <w:tcW w:w="10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(27,412)</w:t>
            </w: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3"/>
                <w:szCs w:val="13"/>
                <w:color w:val="auto"/>
              </w:rPr>
              <w:t>OTHER INCOME (EXPENSE), NET:</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5"/>
        </w:trPr>
        <w:tc>
          <w:tcPr>
            <w:tcW w:w="4620" w:type="dxa"/>
            <w:vAlign w:val="bottom"/>
            <w:shd w:val="clear" w:color="auto" w:fill="DDDDDD"/>
          </w:tcPr>
          <w:p>
            <w:pPr>
              <w:ind w:left="220"/>
              <w:spacing w:after="0" w:line="135" w:lineRule="exact"/>
              <w:rPr>
                <w:sz w:val="20"/>
                <w:szCs w:val="20"/>
                <w:color w:val="auto"/>
              </w:rPr>
            </w:pPr>
            <w:r>
              <w:rPr>
                <w:rFonts w:ascii="Arial" w:cs="Arial" w:eastAsia="Arial" w:hAnsi="Arial"/>
                <w:sz w:val="13"/>
                <w:szCs w:val="13"/>
                <w:color w:val="auto"/>
              </w:rPr>
              <w:t>Interest income (expense), net</w:t>
            </w:r>
          </w:p>
        </w:tc>
        <w:tc>
          <w:tcPr>
            <w:tcW w:w="360" w:type="dxa"/>
            <w:vAlign w:val="bottom"/>
            <w:shd w:val="clear" w:color="auto" w:fill="DDDDDD"/>
          </w:tcPr>
          <w:p>
            <w:pPr>
              <w:spacing w:after="0"/>
              <w:rPr>
                <w:sz w:val="11"/>
                <w:szCs w:val="11"/>
                <w:color w:val="auto"/>
              </w:rPr>
            </w:pPr>
          </w:p>
        </w:tc>
        <w:tc>
          <w:tcPr>
            <w:tcW w:w="10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87</w:t>
            </w:r>
          </w:p>
        </w:tc>
        <w:tc>
          <w:tcPr>
            <w:tcW w:w="22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080" w:type="dxa"/>
            <w:vAlign w:val="bottom"/>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(1,146)</w:t>
            </w:r>
          </w:p>
        </w:tc>
        <w:tc>
          <w:tcPr>
            <w:tcW w:w="20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080" w:type="dxa"/>
            <w:vAlign w:val="bottom"/>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(1,014)</w:t>
            </w:r>
          </w:p>
        </w:tc>
        <w:tc>
          <w:tcPr>
            <w:tcW w:w="220" w:type="dxa"/>
            <w:vAlign w:val="bottom"/>
            <w:shd w:val="clear" w:color="auto" w:fill="DDDDDD"/>
          </w:tcPr>
          <w:p>
            <w:pPr>
              <w:spacing w:after="0"/>
              <w:rPr>
                <w:sz w:val="11"/>
                <w:szCs w:val="11"/>
                <w:color w:val="auto"/>
              </w:rPr>
            </w:pPr>
          </w:p>
        </w:tc>
        <w:tc>
          <w:tcPr>
            <w:tcW w:w="440" w:type="dxa"/>
            <w:vAlign w:val="bottom"/>
            <w:shd w:val="clear" w:color="auto" w:fill="DDDDDD"/>
          </w:tcPr>
          <w:p>
            <w:pPr>
              <w:spacing w:after="0"/>
              <w:rPr>
                <w:sz w:val="11"/>
                <w:szCs w:val="11"/>
                <w:color w:val="auto"/>
              </w:rPr>
            </w:pPr>
          </w:p>
        </w:tc>
        <w:tc>
          <w:tcPr>
            <w:tcW w:w="102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(391)</w:t>
            </w:r>
          </w:p>
        </w:tc>
      </w:tr>
      <w:tr>
        <w:trPr>
          <w:trHeight w:val="142"/>
        </w:trPr>
        <w:tc>
          <w:tcPr>
            <w:tcW w:w="4620" w:type="dxa"/>
            <w:vAlign w:val="bottom"/>
          </w:tcPr>
          <w:p>
            <w:pPr>
              <w:ind w:left="220"/>
              <w:spacing w:after="0" w:line="135" w:lineRule="exact"/>
              <w:rPr>
                <w:sz w:val="20"/>
                <w:szCs w:val="20"/>
                <w:color w:val="auto"/>
              </w:rPr>
            </w:pPr>
            <w:r>
              <w:rPr>
                <w:rFonts w:ascii="Arial" w:cs="Arial" w:eastAsia="Arial" w:hAnsi="Arial"/>
                <w:sz w:val="13"/>
                <w:szCs w:val="13"/>
                <w:color w:val="auto"/>
              </w:rPr>
              <w:t>Other income (expense), net</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(384)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55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138</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(518)</w:t>
            </w:r>
          </w:p>
        </w:tc>
      </w:tr>
      <w:tr>
        <w:trPr>
          <w:trHeight w:val="135"/>
        </w:trPr>
        <w:tc>
          <w:tcPr>
            <w:tcW w:w="4620" w:type="dxa"/>
            <w:vAlign w:val="bottom"/>
            <w:shd w:val="clear" w:color="auto" w:fill="DDDDDD"/>
          </w:tcPr>
          <w:p>
            <w:pPr>
              <w:ind w:left="420"/>
              <w:spacing w:after="0" w:line="135" w:lineRule="exact"/>
              <w:rPr>
                <w:sz w:val="20"/>
                <w:szCs w:val="20"/>
                <w:color w:val="auto"/>
              </w:rPr>
            </w:pPr>
            <w:r>
              <w:rPr>
                <w:rFonts w:ascii="Arial" w:cs="Arial" w:eastAsia="Arial" w:hAnsi="Arial"/>
                <w:sz w:val="13"/>
                <w:szCs w:val="13"/>
                <w:color w:val="auto"/>
              </w:rPr>
              <w:t>Total other expense, net</w:t>
            </w:r>
          </w:p>
        </w:tc>
        <w:tc>
          <w:tcPr>
            <w:tcW w:w="360" w:type="dxa"/>
            <w:vAlign w:val="bottom"/>
            <w:tcBorders>
              <w:bottom w:val="single" w:sz="8" w:color="auto"/>
            </w:tcBorders>
            <w:shd w:val="clear" w:color="auto" w:fill="DDDDDD"/>
          </w:tcPr>
          <w:p>
            <w:pPr>
              <w:spacing w:after="0"/>
              <w:rPr>
                <w:sz w:val="11"/>
                <w:szCs w:val="11"/>
                <w:color w:val="auto"/>
              </w:rPr>
            </w:pPr>
          </w:p>
        </w:tc>
        <w:tc>
          <w:tcPr>
            <w:tcW w:w="1060" w:type="dxa"/>
            <w:vAlign w:val="bottom"/>
            <w:tcBorders>
              <w:bottom w:val="single" w:sz="8" w:color="auto"/>
            </w:tcBorders>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(297)</w:t>
            </w:r>
          </w:p>
        </w:tc>
        <w:tc>
          <w:tcPr>
            <w:tcW w:w="22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(1,091)</w:t>
            </w:r>
          </w:p>
        </w:tc>
        <w:tc>
          <w:tcPr>
            <w:tcW w:w="20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(876)</w:t>
            </w:r>
          </w:p>
        </w:tc>
        <w:tc>
          <w:tcPr>
            <w:tcW w:w="220" w:type="dxa"/>
            <w:vAlign w:val="bottom"/>
            <w:shd w:val="clear" w:color="auto" w:fill="DDDDDD"/>
          </w:tcPr>
          <w:p>
            <w:pPr>
              <w:spacing w:after="0"/>
              <w:rPr>
                <w:sz w:val="11"/>
                <w:szCs w:val="11"/>
                <w:color w:val="auto"/>
              </w:rPr>
            </w:pPr>
          </w:p>
        </w:tc>
        <w:tc>
          <w:tcPr>
            <w:tcW w:w="440" w:type="dxa"/>
            <w:vAlign w:val="bottom"/>
            <w:tcBorders>
              <w:bottom w:val="single" w:sz="8" w:color="auto"/>
            </w:tcBorders>
            <w:shd w:val="clear" w:color="auto" w:fill="DDDDDD"/>
          </w:tcPr>
          <w:p>
            <w:pPr>
              <w:spacing w:after="0"/>
              <w:rPr>
                <w:sz w:val="11"/>
                <w:szCs w:val="11"/>
                <w:color w:val="auto"/>
              </w:rPr>
            </w:pPr>
          </w:p>
        </w:tc>
        <w:tc>
          <w:tcPr>
            <w:tcW w:w="10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(909)</w:t>
            </w: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3"/>
                <w:szCs w:val="13"/>
                <w:color w:val="auto"/>
              </w:rPr>
              <w:t>NET LOSS BEFORE TAXES</w:t>
            </w:r>
          </w:p>
        </w:tc>
        <w:tc>
          <w:tcPr>
            <w:tcW w:w="360" w:type="dxa"/>
            <w:vAlign w:val="bottom"/>
          </w:tcPr>
          <w:p>
            <w:pPr>
              <w:spacing w:after="0"/>
              <w:rPr>
                <w:sz w:val="12"/>
                <w:szCs w:val="12"/>
                <w:color w:val="auto"/>
              </w:rPr>
            </w:pPr>
          </w:p>
        </w:tc>
        <w:tc>
          <w:tcPr>
            <w:tcW w:w="10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(68,328)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57"/>
              <w:spacing w:after="0" w:line="142" w:lineRule="exact"/>
              <w:rPr>
                <w:sz w:val="20"/>
                <w:szCs w:val="20"/>
                <w:color w:val="auto"/>
              </w:rPr>
            </w:pPr>
            <w:r>
              <w:rPr>
                <w:rFonts w:ascii="Arial" w:cs="Arial" w:eastAsia="Arial" w:hAnsi="Arial"/>
                <w:sz w:val="13"/>
                <w:szCs w:val="13"/>
                <w:color w:val="auto"/>
              </w:rPr>
              <w:t>(74,471)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(50,684)</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(28,321)</w:t>
            </w:r>
          </w:p>
        </w:tc>
      </w:tr>
      <w:tr>
        <w:trPr>
          <w:trHeight w:val="135"/>
        </w:trPr>
        <w:tc>
          <w:tcPr>
            <w:tcW w:w="462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INCOME TAX PROVISION</w:t>
            </w:r>
          </w:p>
        </w:tc>
        <w:tc>
          <w:tcPr>
            <w:tcW w:w="360" w:type="dxa"/>
            <w:vAlign w:val="bottom"/>
            <w:tcBorders>
              <w:bottom w:val="single" w:sz="8" w:color="auto"/>
            </w:tcBorders>
            <w:shd w:val="clear" w:color="auto" w:fill="DDDDDD"/>
          </w:tcPr>
          <w:p>
            <w:pPr>
              <w:spacing w:after="0"/>
              <w:rPr>
                <w:sz w:val="11"/>
                <w:szCs w:val="11"/>
                <w:color w:val="auto"/>
              </w:rPr>
            </w:pPr>
          </w:p>
        </w:tc>
        <w:tc>
          <w:tcPr>
            <w:tcW w:w="1060" w:type="dxa"/>
            <w:vAlign w:val="bottom"/>
            <w:tcBorders>
              <w:bottom w:val="single" w:sz="8" w:color="auto"/>
            </w:tcBorders>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(1,375)</w:t>
            </w:r>
          </w:p>
        </w:tc>
        <w:tc>
          <w:tcPr>
            <w:tcW w:w="22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(3,149)</w:t>
            </w:r>
          </w:p>
        </w:tc>
        <w:tc>
          <w:tcPr>
            <w:tcW w:w="200" w:type="dxa"/>
            <w:vAlign w:val="bottom"/>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spacing w:after="0"/>
              <w:rPr>
                <w:sz w:val="11"/>
                <w:szCs w:val="11"/>
                <w:color w:val="auto"/>
              </w:rPr>
            </w:pPr>
          </w:p>
        </w:tc>
        <w:tc>
          <w:tcPr>
            <w:tcW w:w="1080" w:type="dxa"/>
            <w:vAlign w:val="bottom"/>
            <w:tcBorders>
              <w:bottom w:val="single" w:sz="8" w:color="auto"/>
            </w:tcBorders>
            <w:shd w:val="clear" w:color="auto" w:fill="DDDDDD"/>
          </w:tcPr>
          <w:p>
            <w:pPr>
              <w:jc w:val="right"/>
              <w:ind w:right="57"/>
              <w:spacing w:after="0" w:line="135" w:lineRule="exact"/>
              <w:rPr>
                <w:sz w:val="20"/>
                <w:szCs w:val="20"/>
                <w:color w:val="auto"/>
              </w:rPr>
            </w:pPr>
            <w:r>
              <w:rPr>
                <w:rFonts w:ascii="Arial" w:cs="Arial" w:eastAsia="Arial" w:hAnsi="Arial"/>
                <w:sz w:val="13"/>
                <w:szCs w:val="13"/>
                <w:color w:val="auto"/>
              </w:rPr>
              <w:t>(1,766)</w:t>
            </w:r>
          </w:p>
        </w:tc>
        <w:tc>
          <w:tcPr>
            <w:tcW w:w="220" w:type="dxa"/>
            <w:vAlign w:val="bottom"/>
            <w:shd w:val="clear" w:color="auto" w:fill="DDDDDD"/>
          </w:tcPr>
          <w:p>
            <w:pPr>
              <w:spacing w:after="0"/>
              <w:rPr>
                <w:sz w:val="11"/>
                <w:szCs w:val="11"/>
                <w:color w:val="auto"/>
              </w:rPr>
            </w:pPr>
          </w:p>
        </w:tc>
        <w:tc>
          <w:tcPr>
            <w:tcW w:w="440" w:type="dxa"/>
            <w:vAlign w:val="bottom"/>
            <w:tcBorders>
              <w:bottom w:val="single" w:sz="8" w:color="auto"/>
            </w:tcBorders>
            <w:shd w:val="clear" w:color="auto" w:fill="DDDDDD"/>
          </w:tcPr>
          <w:p>
            <w:pPr>
              <w:spacing w:after="0"/>
              <w:rPr>
                <w:sz w:val="11"/>
                <w:szCs w:val="11"/>
                <w:color w:val="auto"/>
              </w:rPr>
            </w:pPr>
          </w:p>
        </w:tc>
        <w:tc>
          <w:tcPr>
            <w:tcW w:w="102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(1,059)</w:t>
            </w: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3"/>
                <w:szCs w:val="13"/>
                <w:color w:val="auto"/>
              </w:rPr>
              <w:t>NET LOSS</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rPr>
              <w:t>(69,703)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(77,620)</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(52,450)</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(29,380)</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shd w:val="clear" w:color="auto" w:fill="DDDDDD"/>
          </w:tcPr>
          <w:p>
            <w:pPr>
              <w:spacing w:after="0" w:line="123" w:lineRule="exact"/>
              <w:rPr>
                <w:sz w:val="20"/>
                <w:szCs w:val="20"/>
                <w:color w:val="auto"/>
              </w:rPr>
            </w:pPr>
            <w:r>
              <w:rPr>
                <w:rFonts w:ascii="Arial" w:cs="Arial" w:eastAsia="Arial" w:hAnsi="Arial"/>
                <w:sz w:val="13"/>
                <w:szCs w:val="13"/>
                <w:color w:val="auto"/>
              </w:rPr>
              <w:t>NET LOSS PER SHARE ATTRIBUTABLE TO COMMON STOCKHOLDERS—</w:t>
            </w:r>
          </w:p>
        </w:tc>
        <w:tc>
          <w:tcPr>
            <w:tcW w:w="36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220" w:type="dxa"/>
            <w:vAlign w:val="bottom"/>
            <w:shd w:val="clear" w:color="auto" w:fill="DDDDDD"/>
          </w:tcPr>
          <w:p>
            <w:pPr>
              <w:spacing w:after="0"/>
              <w:rPr>
                <w:sz w:val="10"/>
                <w:szCs w:val="10"/>
                <w:color w:val="auto"/>
              </w:rPr>
            </w:pPr>
          </w:p>
        </w:tc>
        <w:tc>
          <w:tcPr>
            <w:tcW w:w="360" w:type="dxa"/>
            <w:vAlign w:val="bottom"/>
            <w:shd w:val="clear" w:color="auto" w:fill="DDDDDD"/>
          </w:tcPr>
          <w:p>
            <w:pPr>
              <w:spacing w:after="0"/>
              <w:rPr>
                <w:sz w:val="10"/>
                <w:szCs w:val="10"/>
                <w:color w:val="auto"/>
              </w:rPr>
            </w:pPr>
          </w:p>
        </w:tc>
        <w:tc>
          <w:tcPr>
            <w:tcW w:w="1080" w:type="dxa"/>
            <w:vAlign w:val="bottom"/>
            <w:shd w:val="clear" w:color="auto" w:fill="DDDDDD"/>
          </w:tcPr>
          <w:p>
            <w:pPr>
              <w:spacing w:after="0"/>
              <w:rPr>
                <w:sz w:val="10"/>
                <w:szCs w:val="10"/>
                <w:color w:val="auto"/>
              </w:rPr>
            </w:pPr>
          </w:p>
        </w:tc>
        <w:tc>
          <w:tcPr>
            <w:tcW w:w="200" w:type="dxa"/>
            <w:vAlign w:val="bottom"/>
            <w:shd w:val="clear" w:color="auto" w:fill="DDDDDD"/>
          </w:tcPr>
          <w:p>
            <w:pPr>
              <w:spacing w:after="0"/>
              <w:rPr>
                <w:sz w:val="10"/>
                <w:szCs w:val="10"/>
                <w:color w:val="auto"/>
              </w:rPr>
            </w:pPr>
          </w:p>
        </w:tc>
        <w:tc>
          <w:tcPr>
            <w:tcW w:w="360" w:type="dxa"/>
            <w:vAlign w:val="bottom"/>
            <w:shd w:val="clear" w:color="auto" w:fill="DDDDDD"/>
          </w:tcPr>
          <w:p>
            <w:pPr>
              <w:spacing w:after="0"/>
              <w:rPr>
                <w:sz w:val="10"/>
                <w:szCs w:val="10"/>
                <w:color w:val="auto"/>
              </w:rPr>
            </w:pPr>
          </w:p>
        </w:tc>
        <w:tc>
          <w:tcPr>
            <w:tcW w:w="1080" w:type="dxa"/>
            <w:vAlign w:val="bottom"/>
            <w:shd w:val="clear" w:color="auto" w:fill="DDDDDD"/>
          </w:tcPr>
          <w:p>
            <w:pPr>
              <w:spacing w:after="0"/>
              <w:rPr>
                <w:sz w:val="10"/>
                <w:szCs w:val="10"/>
                <w:color w:val="auto"/>
              </w:rPr>
            </w:pPr>
          </w:p>
        </w:tc>
        <w:tc>
          <w:tcPr>
            <w:tcW w:w="220" w:type="dxa"/>
            <w:vAlign w:val="bottom"/>
            <w:shd w:val="clear" w:color="auto" w:fill="DDDDDD"/>
          </w:tcPr>
          <w:p>
            <w:pPr>
              <w:spacing w:after="0"/>
              <w:rPr>
                <w:sz w:val="10"/>
                <w:szCs w:val="10"/>
                <w:color w:val="auto"/>
              </w:rPr>
            </w:pPr>
          </w:p>
        </w:tc>
        <w:tc>
          <w:tcPr>
            <w:tcW w:w="440" w:type="dxa"/>
            <w:vAlign w:val="bottom"/>
            <w:shd w:val="clear" w:color="auto" w:fill="DDDDDD"/>
          </w:tcPr>
          <w:p>
            <w:pPr>
              <w:spacing w:after="0"/>
              <w:rPr>
                <w:sz w:val="10"/>
                <w:szCs w:val="10"/>
                <w:color w:val="auto"/>
              </w:rPr>
            </w:pPr>
          </w:p>
        </w:tc>
        <w:tc>
          <w:tcPr>
            <w:tcW w:w="1020" w:type="dxa"/>
            <w:vAlign w:val="bottom"/>
            <w:shd w:val="clear" w:color="auto" w:fill="DDDDDD"/>
          </w:tcPr>
          <w:p>
            <w:pPr>
              <w:spacing w:after="0"/>
              <w:rPr>
                <w:sz w:val="10"/>
                <w:szCs w:val="10"/>
                <w:color w:val="auto"/>
              </w:rPr>
            </w:pPr>
          </w:p>
        </w:tc>
      </w:tr>
      <w:tr>
        <w:trPr>
          <w:trHeight w:val="141"/>
        </w:trPr>
        <w:tc>
          <w:tcPr>
            <w:tcW w:w="4620" w:type="dxa"/>
            <w:vAlign w:val="bottom"/>
            <w:shd w:val="clear" w:color="auto" w:fill="DDDDDD"/>
          </w:tcPr>
          <w:p>
            <w:pPr>
              <w:ind w:left="100"/>
              <w:spacing w:after="0" w:line="141" w:lineRule="exact"/>
              <w:rPr>
                <w:sz w:val="20"/>
                <w:szCs w:val="20"/>
                <w:color w:val="auto"/>
              </w:rPr>
            </w:pPr>
            <w:r>
              <w:rPr>
                <w:rFonts w:ascii="Arial" w:cs="Arial" w:eastAsia="Arial" w:hAnsi="Arial"/>
                <w:sz w:val="13"/>
                <w:szCs w:val="13"/>
                <w:color w:val="auto"/>
              </w:rPr>
              <w:t>BASIC AND DILUTED</w:t>
            </w:r>
          </w:p>
        </w:tc>
        <w:tc>
          <w:tcPr>
            <w:tcW w:w="360" w:type="dxa"/>
            <w:vAlign w:val="bottom"/>
            <w:shd w:val="clear" w:color="auto" w:fill="DDDDDD"/>
          </w:tcPr>
          <w:p>
            <w:pPr>
              <w:jc w:val="right"/>
              <w:ind w:right="24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DDDDDD"/>
          </w:tcPr>
          <w:p>
            <w:pPr>
              <w:jc w:val="right"/>
              <w:ind w:right="37"/>
              <w:spacing w:after="0" w:line="141" w:lineRule="exact"/>
              <w:rPr>
                <w:sz w:val="20"/>
                <w:szCs w:val="20"/>
                <w:color w:val="auto"/>
              </w:rPr>
            </w:pPr>
            <w:r>
              <w:rPr>
                <w:rFonts w:ascii="Arial" w:cs="Arial" w:eastAsia="Arial" w:hAnsi="Arial"/>
                <w:sz w:val="13"/>
                <w:szCs w:val="13"/>
                <w:color w:val="auto"/>
              </w:rPr>
              <w:t>(2.57)</w:t>
            </w:r>
          </w:p>
        </w:tc>
        <w:tc>
          <w:tcPr>
            <w:tcW w:w="580" w:type="dxa"/>
            <w:vAlign w:val="bottom"/>
            <w:gridSpan w:val="2"/>
            <w:shd w:val="clear" w:color="auto" w:fill="DDDDDD"/>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DDDDDD"/>
          </w:tcPr>
          <w:p>
            <w:pPr>
              <w:jc w:val="right"/>
              <w:ind w:right="57"/>
              <w:spacing w:after="0" w:line="141" w:lineRule="exact"/>
              <w:rPr>
                <w:sz w:val="20"/>
                <w:szCs w:val="20"/>
                <w:color w:val="auto"/>
              </w:rPr>
            </w:pPr>
            <w:r>
              <w:rPr>
                <w:rFonts w:ascii="Arial" w:cs="Arial" w:eastAsia="Arial" w:hAnsi="Arial"/>
                <w:sz w:val="13"/>
                <w:szCs w:val="13"/>
                <w:color w:val="auto"/>
              </w:rPr>
              <w:t>(2.33)</w:t>
            </w:r>
          </w:p>
        </w:tc>
        <w:tc>
          <w:tcPr>
            <w:tcW w:w="560" w:type="dxa"/>
            <w:vAlign w:val="bottom"/>
            <w:gridSpan w:val="2"/>
            <w:shd w:val="clear" w:color="auto" w:fill="DDDDDD"/>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DDDDDD"/>
          </w:tcPr>
          <w:p>
            <w:pPr>
              <w:jc w:val="right"/>
              <w:ind w:right="57"/>
              <w:spacing w:after="0" w:line="141" w:lineRule="exact"/>
              <w:rPr>
                <w:sz w:val="20"/>
                <w:szCs w:val="20"/>
                <w:color w:val="auto"/>
              </w:rPr>
            </w:pPr>
            <w:r>
              <w:rPr>
                <w:rFonts w:ascii="Arial" w:cs="Arial" w:eastAsia="Arial" w:hAnsi="Arial"/>
                <w:sz w:val="13"/>
                <w:szCs w:val="13"/>
                <w:color w:val="auto"/>
              </w:rPr>
              <w:t>(1.63)</w:t>
            </w:r>
          </w:p>
        </w:tc>
        <w:tc>
          <w:tcPr>
            <w:tcW w:w="660" w:type="dxa"/>
            <w:vAlign w:val="bottom"/>
            <w:gridSpan w:val="2"/>
            <w:shd w:val="clear" w:color="auto" w:fill="DDDDDD"/>
          </w:tcPr>
          <w:p>
            <w:pPr>
              <w:jc w:val="right"/>
              <w:ind w:right="380"/>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(0.80)</w:t>
            </w:r>
          </w:p>
        </w:tc>
      </w:tr>
      <w:tr>
        <w:trPr>
          <w:trHeight w:val="136"/>
        </w:trPr>
        <w:tc>
          <w:tcPr>
            <w:tcW w:w="4620" w:type="dxa"/>
            <w:vAlign w:val="bottom"/>
          </w:tcPr>
          <w:p>
            <w:pPr>
              <w:spacing w:after="0" w:line="136" w:lineRule="exact"/>
              <w:rPr>
                <w:sz w:val="20"/>
                <w:szCs w:val="20"/>
                <w:color w:val="auto"/>
              </w:rPr>
            </w:pPr>
            <w:r>
              <w:rPr>
                <w:rFonts w:ascii="Arial" w:cs="Arial" w:eastAsia="Arial" w:hAnsi="Arial"/>
                <w:sz w:val="13"/>
                <w:szCs w:val="13"/>
                <w:color w:val="auto"/>
              </w:rPr>
              <w:t>WEIGHTED AVERAGE SHARES USED TO CALCULATE NET LOSS PER</w:t>
            </w:r>
          </w:p>
        </w:tc>
        <w:tc>
          <w:tcPr>
            <w:tcW w:w="3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135"/>
        </w:trPr>
        <w:tc>
          <w:tcPr>
            <w:tcW w:w="4620" w:type="dxa"/>
            <w:vAlign w:val="bottom"/>
          </w:tcPr>
          <w:p>
            <w:pPr>
              <w:ind w:left="100"/>
              <w:spacing w:after="0" w:line="135" w:lineRule="exact"/>
              <w:rPr>
                <w:sz w:val="20"/>
                <w:szCs w:val="20"/>
                <w:color w:val="auto"/>
              </w:rPr>
            </w:pPr>
            <w:r>
              <w:rPr>
                <w:rFonts w:ascii="Arial" w:cs="Arial" w:eastAsia="Arial" w:hAnsi="Arial"/>
                <w:sz w:val="13"/>
                <w:szCs w:val="13"/>
                <w:color w:val="auto"/>
              </w:rPr>
              <w:t>SHARE ATTRIBUTABLE TO COMMON STOCKHOLDERS—BASIC AND</w:t>
            </w: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4620" w:type="dxa"/>
            <w:vAlign w:val="bottom"/>
          </w:tcPr>
          <w:p>
            <w:pPr>
              <w:ind w:left="100"/>
              <w:spacing w:after="0" w:line="141" w:lineRule="exact"/>
              <w:rPr>
                <w:sz w:val="20"/>
                <w:szCs w:val="20"/>
                <w:color w:val="auto"/>
              </w:rPr>
            </w:pPr>
            <w:r>
              <w:rPr>
                <w:rFonts w:ascii="Arial" w:cs="Arial" w:eastAsia="Arial" w:hAnsi="Arial"/>
                <w:sz w:val="13"/>
                <w:szCs w:val="13"/>
                <w:color w:val="auto"/>
              </w:rPr>
              <w:t>DILUTED</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line="141" w:lineRule="exact"/>
              <w:rPr>
                <w:sz w:val="20"/>
                <w:szCs w:val="20"/>
                <w:color w:val="auto"/>
              </w:rPr>
            </w:pPr>
            <w:r>
              <w:rPr>
                <w:rFonts w:ascii="Arial" w:cs="Arial" w:eastAsia="Arial" w:hAnsi="Arial"/>
                <w:sz w:val="13"/>
                <w:szCs w:val="13"/>
                <w:color w:val="auto"/>
              </w:rPr>
              <w:t>27,096,379</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33,384,438</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
              <w:spacing w:after="0" w:line="141" w:lineRule="exact"/>
              <w:rPr>
                <w:sz w:val="20"/>
                <w:szCs w:val="20"/>
                <w:color w:val="auto"/>
              </w:rPr>
            </w:pPr>
            <w:r>
              <w:rPr>
                <w:rFonts w:ascii="Arial" w:cs="Arial" w:eastAsia="Arial" w:hAnsi="Arial"/>
                <w:sz w:val="13"/>
                <w:szCs w:val="13"/>
                <w:color w:val="auto"/>
              </w:rPr>
              <w:t>32,104,638</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36,726,992</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ind w:left="1088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40"/>
          </w:cols>
          <w:pgMar w:left="320" w:top="459" w:right="4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4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3"/>
                <w:szCs w:val="13"/>
                <w:b w:val="1"/>
                <w:bCs w:val="1"/>
                <w:color w:val="auto"/>
              </w:rPr>
              <w:t>Six Months Ended June 30,</w:t>
            </w:r>
          </w:p>
        </w:tc>
      </w:tr>
      <w:tr>
        <w:trPr>
          <w:trHeight w:val="128"/>
        </w:trPr>
        <w:tc>
          <w:tcPr>
            <w:tcW w:w="4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37"/>
              <w:spacing w:after="0" w:line="129" w:lineRule="exact"/>
              <w:rPr>
                <w:sz w:val="20"/>
                <w:szCs w:val="20"/>
                <w:color w:val="auto"/>
              </w:rPr>
            </w:pPr>
            <w:r>
              <w:rPr>
                <w:rFonts w:ascii="Arial" w:cs="Arial" w:eastAsia="Arial" w:hAnsi="Arial"/>
                <w:sz w:val="13"/>
                <w:szCs w:val="13"/>
                <w:b w:val="1"/>
                <w:bCs w:val="1"/>
                <w:color w:val="auto"/>
              </w:rPr>
              <w:t>2021</w:t>
            </w:r>
          </w:p>
        </w:tc>
      </w:tr>
      <w:tr>
        <w:trPr>
          <w:trHeight w:val="150"/>
        </w:trPr>
        <w:tc>
          <w:tcPr>
            <w:tcW w:w="4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3"/>
                <w:szCs w:val="13"/>
                <w:color w:val="auto"/>
              </w:rPr>
              <w:t>(unaudited)</w:t>
            </w:r>
          </w:p>
        </w:tc>
        <w:tc>
          <w:tcPr>
            <w:tcW w:w="1040" w:type="dxa"/>
            <w:vAlign w:val="bottom"/>
          </w:tcPr>
          <w:p>
            <w:pPr>
              <w:spacing w:after="0"/>
              <w:rPr>
                <w:sz w:val="13"/>
                <w:szCs w:val="13"/>
                <w:color w:val="auto"/>
              </w:rPr>
            </w:pPr>
          </w:p>
        </w:tc>
      </w:tr>
      <w:tr>
        <w:trPr>
          <w:trHeight w:val="140"/>
        </w:trPr>
        <w:tc>
          <w:tcPr>
            <w:tcW w:w="4360" w:type="dxa"/>
            <w:vAlign w:val="bottom"/>
            <w:shd w:val="clear" w:color="auto" w:fill="DDDDDD"/>
          </w:tcPr>
          <w:p>
            <w:pPr>
              <w:spacing w:after="0" w:line="140" w:lineRule="exact"/>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DDDDDD"/>
          </w:tcPr>
          <w:p>
            <w:pPr>
              <w:jc w:val="right"/>
              <w:ind w:right="240"/>
              <w:spacing w:after="0" w:line="140"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40" w:lineRule="exact"/>
              <w:rPr>
                <w:sz w:val="20"/>
                <w:szCs w:val="20"/>
                <w:color w:val="auto"/>
              </w:rPr>
            </w:pPr>
            <w:r>
              <w:rPr>
                <w:rFonts w:ascii="Arial" w:cs="Arial" w:eastAsia="Arial" w:hAnsi="Arial"/>
                <w:sz w:val="13"/>
                <w:szCs w:val="13"/>
                <w:color w:val="auto"/>
              </w:rPr>
              <w:t>(69,703)</w:t>
            </w:r>
          </w:p>
        </w:tc>
        <w:tc>
          <w:tcPr>
            <w:tcW w:w="440" w:type="dxa"/>
            <w:vAlign w:val="bottom"/>
            <w:gridSpan w:val="2"/>
            <w:shd w:val="clear" w:color="auto" w:fill="DDDDDD"/>
          </w:tcPr>
          <w:p>
            <w:pPr>
              <w:jc w:val="right"/>
              <w:ind w:right="260"/>
              <w:spacing w:after="0" w:line="140"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40" w:lineRule="exact"/>
              <w:rPr>
                <w:sz w:val="20"/>
                <w:szCs w:val="20"/>
                <w:color w:val="auto"/>
              </w:rPr>
            </w:pPr>
            <w:r>
              <w:rPr>
                <w:rFonts w:ascii="Arial" w:cs="Arial" w:eastAsia="Arial" w:hAnsi="Arial"/>
                <w:sz w:val="13"/>
                <w:szCs w:val="13"/>
                <w:color w:val="auto"/>
              </w:rPr>
              <w:t>(77,620)</w:t>
            </w:r>
          </w:p>
        </w:tc>
        <w:tc>
          <w:tcPr>
            <w:tcW w:w="440" w:type="dxa"/>
            <w:vAlign w:val="bottom"/>
            <w:gridSpan w:val="2"/>
            <w:shd w:val="clear" w:color="auto" w:fill="DDDDDD"/>
          </w:tcPr>
          <w:p>
            <w:pPr>
              <w:jc w:val="right"/>
              <w:ind w:right="260"/>
              <w:spacing w:after="0" w:line="140"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40" w:lineRule="exact"/>
              <w:rPr>
                <w:sz w:val="20"/>
                <w:szCs w:val="20"/>
                <w:color w:val="auto"/>
              </w:rPr>
            </w:pPr>
            <w:r>
              <w:rPr>
                <w:rFonts w:ascii="Arial" w:cs="Arial" w:eastAsia="Arial" w:hAnsi="Arial"/>
                <w:sz w:val="13"/>
                <w:szCs w:val="13"/>
                <w:color w:val="auto"/>
              </w:rPr>
              <w:t>(52,450)</w:t>
            </w:r>
          </w:p>
        </w:tc>
        <w:tc>
          <w:tcPr>
            <w:tcW w:w="540" w:type="dxa"/>
            <w:vAlign w:val="bottom"/>
            <w:gridSpan w:val="2"/>
            <w:shd w:val="clear" w:color="auto" w:fill="DDDDDD"/>
          </w:tcPr>
          <w:p>
            <w:pPr>
              <w:jc w:val="right"/>
              <w:ind w:right="360"/>
              <w:spacing w:after="0" w:line="140" w:lineRule="exact"/>
              <w:rPr>
                <w:sz w:val="20"/>
                <w:szCs w:val="20"/>
                <w:color w:val="auto"/>
              </w:rPr>
            </w:pPr>
            <w:r>
              <w:rPr>
                <w:rFonts w:ascii="Arial" w:cs="Arial" w:eastAsia="Arial" w:hAnsi="Arial"/>
                <w:sz w:val="13"/>
                <w:szCs w:val="13"/>
                <w:color w:val="auto"/>
              </w:rPr>
              <w:t>$</w:t>
            </w:r>
          </w:p>
        </w:tc>
        <w:tc>
          <w:tcPr>
            <w:tcW w:w="1040" w:type="dxa"/>
            <w:vAlign w:val="bottom"/>
            <w:shd w:val="clear" w:color="auto" w:fill="DDDDDD"/>
          </w:tcPr>
          <w:p>
            <w:pPr>
              <w:jc w:val="right"/>
              <w:ind w:right="77"/>
              <w:spacing w:after="0" w:line="140" w:lineRule="exact"/>
              <w:rPr>
                <w:sz w:val="20"/>
                <w:szCs w:val="20"/>
                <w:color w:val="auto"/>
              </w:rPr>
            </w:pPr>
            <w:r>
              <w:rPr>
                <w:rFonts w:ascii="Arial" w:cs="Arial" w:eastAsia="Arial" w:hAnsi="Arial"/>
                <w:sz w:val="13"/>
                <w:szCs w:val="13"/>
                <w:color w:val="auto"/>
              </w:rPr>
              <w:t>(29,380)</w:t>
            </w:r>
          </w:p>
        </w:tc>
      </w:tr>
      <w:tr>
        <w:trPr>
          <w:trHeight w:val="149"/>
        </w:trPr>
        <w:tc>
          <w:tcPr>
            <w:tcW w:w="4360" w:type="dxa"/>
            <w:vAlign w:val="bottom"/>
          </w:tcPr>
          <w:p>
            <w:pPr>
              <w:spacing w:after="0" w:line="142" w:lineRule="exact"/>
              <w:rPr>
                <w:sz w:val="20"/>
                <w:szCs w:val="20"/>
                <w:color w:val="auto"/>
              </w:rPr>
            </w:pPr>
            <w:r>
              <w:rPr>
                <w:rFonts w:ascii="Arial" w:cs="Arial" w:eastAsia="Arial" w:hAnsi="Arial"/>
                <w:sz w:val="13"/>
                <w:szCs w:val="13"/>
                <w:color w:val="auto"/>
              </w:rPr>
              <w:t>CHANGE IN UNREALIZED GAIN ON MARKETABLE SECURITIES</w:t>
            </w:r>
          </w:p>
        </w:tc>
        <w:tc>
          <w:tcPr>
            <w:tcW w:w="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w:t>
            </w:r>
          </w:p>
        </w:tc>
      </w:tr>
      <w:tr>
        <w:trPr>
          <w:trHeight w:val="135"/>
        </w:trPr>
        <w:tc>
          <w:tcPr>
            <w:tcW w:w="436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COMPREHENSIVE LOSS</w:t>
            </w:r>
          </w:p>
        </w:tc>
        <w:tc>
          <w:tcPr>
            <w:tcW w:w="900" w:type="dxa"/>
            <w:vAlign w:val="bottom"/>
            <w:gridSpan w:val="2"/>
            <w:shd w:val="clear" w:color="auto" w:fill="DDDDDD"/>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(69,649)</w:t>
            </w:r>
          </w:p>
        </w:tc>
        <w:tc>
          <w:tcPr>
            <w:tcW w:w="440" w:type="dxa"/>
            <w:vAlign w:val="bottom"/>
            <w:gridSpan w:val="2"/>
            <w:shd w:val="clear" w:color="auto" w:fill="DDDDDD"/>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(77,620)</w:t>
            </w:r>
          </w:p>
        </w:tc>
        <w:tc>
          <w:tcPr>
            <w:tcW w:w="440" w:type="dxa"/>
            <w:vAlign w:val="bottom"/>
            <w:gridSpan w:val="2"/>
            <w:shd w:val="clear" w:color="auto" w:fill="DDDDDD"/>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(52,450)</w:t>
            </w:r>
          </w:p>
        </w:tc>
        <w:tc>
          <w:tcPr>
            <w:tcW w:w="540" w:type="dxa"/>
            <w:vAlign w:val="bottom"/>
            <w:gridSpan w:val="2"/>
            <w:shd w:val="clear" w:color="auto" w:fill="DDDDDD"/>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(29,380)</w:t>
            </w:r>
          </w:p>
        </w:tc>
      </w:tr>
      <w:tr>
        <w:trPr>
          <w:trHeight w:val="20"/>
        </w:trPr>
        <w:tc>
          <w:tcPr>
            <w:tcW w:w="4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Deficit</w:t>
      </w:r>
    </w:p>
    <w:p>
      <w:pPr>
        <w:jc w:val="center"/>
        <w:ind w:right="-99"/>
        <w:spacing w:after="0"/>
        <w:rPr>
          <w:sz w:val="20"/>
          <w:szCs w:val="20"/>
          <w:color w:val="auto"/>
        </w:rPr>
      </w:pPr>
      <w:r>
        <w:rPr>
          <w:rFonts w:ascii="Arial" w:cs="Arial" w:eastAsia="Arial" w:hAnsi="Arial"/>
          <w:sz w:val="18"/>
          <w:szCs w:val="18"/>
          <w:color w:val="auto"/>
        </w:rPr>
        <w:t>(in thousands, except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2540" w:type="dxa"/>
            <w:vAlign w:val="bottom"/>
          </w:tcPr>
          <w:p>
            <w:pPr>
              <w:spacing w:after="0"/>
              <w:rPr>
                <w:sz w:val="2"/>
                <w:szCs w:val="2"/>
                <w:color w:val="auto"/>
              </w:rPr>
            </w:pPr>
          </w:p>
        </w:tc>
        <w:tc>
          <w:tcPr>
            <w:tcW w:w="20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9"/>
              </w:rPr>
              <w:t>Redeemable</w:t>
            </w: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5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380" w:type="dxa"/>
            <w:vAlign w:val="bottom"/>
            <w:gridSpan w:val="3"/>
          </w:tcPr>
          <w:p>
            <w:pPr>
              <w:jc w:val="center"/>
              <w:ind w:left="597"/>
              <w:spacing w:after="0" w:line="135" w:lineRule="exact"/>
              <w:rPr>
                <w:sz w:val="20"/>
                <w:szCs w:val="20"/>
                <w:color w:val="auto"/>
              </w:rPr>
            </w:pPr>
            <w:r>
              <w:rPr>
                <w:rFonts w:ascii="Arial" w:cs="Arial" w:eastAsia="Arial" w:hAnsi="Arial"/>
                <w:sz w:val="13"/>
                <w:szCs w:val="13"/>
                <w:b w:val="1"/>
                <w:bCs w:val="1"/>
                <w:color w:val="auto"/>
                <w:w w:val="95"/>
              </w:rPr>
              <w:t>Convertible</w:t>
            </w: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8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8"/>
        </w:trPr>
        <w:tc>
          <w:tcPr>
            <w:tcW w:w="2540" w:type="dxa"/>
            <w:vAlign w:val="bottom"/>
            <w:tcBorders>
              <w:top w:val="single" w:sz="8" w:color="DDDDDD"/>
            </w:tcBorders>
            <w:shd w:val="clear" w:color="auto" w:fill="DDDDDD"/>
          </w:tcPr>
          <w:p>
            <w:pPr>
              <w:spacing w:after="0" w:line="129" w:lineRule="exact"/>
              <w:rPr>
                <w:sz w:val="20"/>
                <w:szCs w:val="20"/>
                <w:color w:val="auto"/>
              </w:rPr>
            </w:pPr>
            <w:r>
              <w:rPr>
                <w:rFonts w:ascii="Arial" w:cs="Arial" w:eastAsia="Arial" w:hAnsi="Arial"/>
                <w:sz w:val="13"/>
                <w:szCs w:val="13"/>
                <w:color w:val="auto"/>
              </w:rPr>
              <w:t>BALANCE—January 1, 2019</w:t>
            </w:r>
          </w:p>
        </w:tc>
        <w:tc>
          <w:tcPr>
            <w:tcW w:w="8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79,472,483</w:t>
            </w:r>
          </w:p>
        </w:tc>
        <w:tc>
          <w:tcPr>
            <w:tcW w:w="320" w:type="dxa"/>
            <w:vAlign w:val="bottom"/>
            <w:tcBorders>
              <w:top w:val="single" w:sz="8" w:color="DDDDDD"/>
            </w:tcBorders>
            <w:shd w:val="clear" w:color="auto" w:fill="DDDDDD"/>
          </w:tcPr>
          <w:p>
            <w:pPr>
              <w:spacing w:after="0"/>
              <w:rPr>
                <w:sz w:val="11"/>
                <w:szCs w:val="11"/>
                <w:color w:val="auto"/>
              </w:rPr>
            </w:pPr>
          </w:p>
        </w:tc>
        <w:tc>
          <w:tcPr>
            <w:tcW w:w="180" w:type="dxa"/>
            <w:vAlign w:val="bottom"/>
            <w:tcBorders>
              <w:top w:val="single" w:sz="8" w:color="auto"/>
            </w:tcBorders>
            <w:shd w:val="clear" w:color="auto" w:fill="DDDDDD"/>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155,645</w:t>
            </w:r>
          </w:p>
        </w:tc>
        <w:tc>
          <w:tcPr>
            <w:tcW w:w="240" w:type="dxa"/>
            <w:vAlign w:val="bottom"/>
            <w:tcBorders>
              <w:top w:val="single" w:sz="8" w:color="DDDDDD"/>
              <w:right w:val="single" w:sz="8" w:color="auto"/>
            </w:tcBorders>
            <w:shd w:val="clear" w:color="auto" w:fill="DDDDDD"/>
          </w:tcPr>
          <w:p>
            <w:pPr>
              <w:spacing w:after="0"/>
              <w:rPr>
                <w:sz w:val="11"/>
                <w:szCs w:val="11"/>
                <w:color w:val="auto"/>
              </w:rPr>
            </w:pPr>
          </w:p>
        </w:tc>
        <w:tc>
          <w:tcPr>
            <w:tcW w:w="260" w:type="dxa"/>
            <w:vAlign w:val="bottom"/>
            <w:tcBorders>
              <w:top w:val="single" w:sz="8" w:color="DDDDDD"/>
            </w:tcBorders>
            <w:shd w:val="clear" w:color="auto" w:fill="DDDDDD"/>
          </w:tcPr>
          <w:p>
            <w:pPr>
              <w:spacing w:after="0"/>
              <w:rPr>
                <w:sz w:val="11"/>
                <w:szCs w:val="11"/>
                <w:color w:val="auto"/>
              </w:rPr>
            </w:pPr>
          </w:p>
        </w:tc>
        <w:tc>
          <w:tcPr>
            <w:tcW w:w="8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26,595,462</w:t>
            </w:r>
          </w:p>
        </w:tc>
        <w:tc>
          <w:tcPr>
            <w:tcW w:w="320" w:type="dxa"/>
            <w:vAlign w:val="bottom"/>
            <w:tcBorders>
              <w:top w:val="single" w:sz="8" w:color="DDDDDD"/>
            </w:tcBorders>
            <w:shd w:val="clear" w:color="auto" w:fill="DDDDDD"/>
          </w:tcPr>
          <w:p>
            <w:pPr>
              <w:spacing w:after="0"/>
              <w:rPr>
                <w:sz w:val="11"/>
                <w:szCs w:val="11"/>
                <w:color w:val="auto"/>
              </w:rPr>
            </w:pPr>
          </w:p>
        </w:tc>
        <w:tc>
          <w:tcPr>
            <w:tcW w:w="280" w:type="dxa"/>
            <w:vAlign w:val="bottom"/>
            <w:tcBorders>
              <w:top w:val="single" w:sz="8" w:color="auto"/>
            </w:tcBorders>
            <w:shd w:val="clear" w:color="auto" w:fill="DDDDDD"/>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DDDDDD"/>
          </w:tcPr>
          <w:p>
            <w:pPr>
              <w:ind w:left="1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DDDDDD"/>
            </w:tcBorders>
            <w:shd w:val="clear" w:color="auto" w:fill="DDDDDD"/>
          </w:tcPr>
          <w:p>
            <w:pPr>
              <w:spacing w:after="0"/>
              <w:rPr>
                <w:sz w:val="11"/>
                <w:szCs w:val="11"/>
                <w:color w:val="auto"/>
              </w:rPr>
            </w:pPr>
          </w:p>
        </w:tc>
        <w:tc>
          <w:tcPr>
            <w:tcW w:w="10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54,399</w:t>
            </w:r>
          </w:p>
        </w:tc>
        <w:tc>
          <w:tcPr>
            <w:tcW w:w="12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(237,913)</w:t>
            </w:r>
          </w:p>
        </w:tc>
        <w:tc>
          <w:tcPr>
            <w:tcW w:w="12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(183,568)</w:t>
            </w:r>
          </w:p>
        </w:tc>
        <w:tc>
          <w:tcPr>
            <w:tcW w:w="40" w:type="dxa"/>
            <w:vAlign w:val="bottom"/>
            <w:tcBorders>
              <w:top w:val="single" w:sz="8" w:color="DDDDDD"/>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9,208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9,208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Unrealized gain on investments</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54</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54</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4,024,143</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11,265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11,265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Cumulative effect of adoption of</w:t>
            </w:r>
          </w:p>
        </w:tc>
        <w:tc>
          <w:tcPr>
            <w:tcW w:w="88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spacing w:after="0"/>
              <w:rPr>
                <w:sz w:val="11"/>
                <w:szCs w:val="11"/>
                <w:color w:val="auto"/>
              </w:rPr>
            </w:pP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80" w:type="dxa"/>
            <w:vAlign w:val="bottom"/>
            <w:gridSpan w:val="2"/>
            <w:shd w:val="clear" w:color="auto" w:fill="DDDDDD"/>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ASC Topic 606</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6,733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6,733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Vesting of early-exercised stock options</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421</w:t>
            </w: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421</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(69,703)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(69,703)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BALANCE—December 31, 2019</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79,472,483</w:t>
            </w: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155,645</w:t>
            </w:r>
          </w:p>
        </w:tc>
        <w:tc>
          <w:tcPr>
            <w:tcW w:w="240" w:type="dxa"/>
            <w:vAlign w:val="bottom"/>
            <w:tcBorders>
              <w:right w:val="single" w:sz="8" w:color="auto"/>
            </w:tcBorders>
            <w:shd w:val="clear" w:color="auto" w:fill="DDDDDD"/>
          </w:tcPr>
          <w:p>
            <w:pPr>
              <w:spacing w:after="0"/>
              <w:rPr>
                <w:sz w:val="11"/>
                <w:szCs w:val="11"/>
                <w:color w:val="auto"/>
              </w:rPr>
            </w:pPr>
          </w:p>
        </w:tc>
        <w:tc>
          <w:tcPr>
            <w:tcW w:w="1140" w:type="dxa"/>
            <w:vAlign w:val="bottom"/>
            <w:gridSpan w:val="2"/>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30,619,605</w:t>
            </w: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75,293</w:t>
            </w: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(300,883)</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(225,590)</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40" w:type="dxa"/>
            <w:vAlign w:val="bottom"/>
            <w:shd w:val="clear" w:color="auto" w:fill="DDDDDD"/>
          </w:tcPr>
          <w:p>
            <w:pPr>
              <w:spacing w:after="0" w:line="129" w:lineRule="exact"/>
              <w:rPr>
                <w:sz w:val="20"/>
                <w:szCs w:val="20"/>
                <w:color w:val="auto"/>
              </w:rPr>
            </w:pPr>
            <w:r>
              <w:rPr>
                <w:rFonts w:ascii="Arial" w:cs="Arial" w:eastAsia="Arial" w:hAnsi="Arial"/>
                <w:sz w:val="13"/>
                <w:szCs w:val="13"/>
                <w:color w:val="auto"/>
              </w:rPr>
              <w:t>Issuance of Series E Convertible Preferred</w:t>
            </w:r>
          </w:p>
        </w:tc>
        <w:tc>
          <w:tcPr>
            <w:tcW w:w="88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spacing w:after="0"/>
              <w:rPr>
                <w:sz w:val="11"/>
                <w:szCs w:val="11"/>
                <w:color w:val="auto"/>
              </w:rPr>
            </w:pP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40" w:type="dxa"/>
            <w:vAlign w:val="bottom"/>
            <w:shd w:val="clear" w:color="auto" w:fill="DDDDDD"/>
          </w:tcPr>
          <w:p>
            <w:pPr>
              <w:ind w:left="100"/>
              <w:spacing w:after="0" w:line="141" w:lineRule="exact"/>
              <w:rPr>
                <w:sz w:val="20"/>
                <w:szCs w:val="20"/>
                <w:color w:val="auto"/>
              </w:rPr>
            </w:pPr>
            <w:r>
              <w:rPr>
                <w:rFonts w:ascii="Arial" w:cs="Arial" w:eastAsia="Arial" w:hAnsi="Arial"/>
                <w:sz w:val="13"/>
                <w:szCs w:val="13"/>
                <w:color w:val="auto"/>
              </w:rPr>
              <w:t>Stock, net of $52 issuance costs</w:t>
            </w:r>
          </w:p>
        </w:tc>
        <w:tc>
          <w:tcPr>
            <w:tcW w:w="8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2,569,043</w:t>
            </w:r>
          </w:p>
        </w:tc>
        <w:tc>
          <w:tcPr>
            <w:tcW w:w="320" w:type="dxa"/>
            <w:vAlign w:val="bottom"/>
            <w:shd w:val="clear" w:color="auto" w:fill="DDDDDD"/>
          </w:tcPr>
          <w:p>
            <w:pPr>
              <w:spacing w:after="0"/>
              <w:rPr>
                <w:sz w:val="12"/>
                <w:szCs w:val="12"/>
                <w:color w:val="auto"/>
              </w:rPr>
            </w:pPr>
          </w:p>
        </w:tc>
        <w:tc>
          <w:tcPr>
            <w:tcW w:w="180" w:type="dxa"/>
            <w:vAlign w:val="bottom"/>
            <w:shd w:val="clear" w:color="auto" w:fill="DDDDDD"/>
          </w:tcPr>
          <w:p>
            <w:pPr>
              <w:spacing w:after="0"/>
              <w:rPr>
                <w:sz w:val="12"/>
                <w:szCs w:val="12"/>
                <w:color w:val="auto"/>
              </w:rPr>
            </w:pPr>
          </w:p>
        </w:tc>
        <w:tc>
          <w:tcPr>
            <w:tcW w:w="66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39,948</w:t>
            </w:r>
          </w:p>
        </w:tc>
        <w:tc>
          <w:tcPr>
            <w:tcW w:w="240" w:type="dxa"/>
            <w:vAlign w:val="bottom"/>
            <w:tcBorders>
              <w:right w:val="single" w:sz="8" w:color="auto"/>
            </w:tcBorders>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8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2"/>
                <w:szCs w:val="12"/>
                <w:color w:val="auto"/>
              </w:rPr>
            </w:pPr>
          </w:p>
        </w:tc>
        <w:tc>
          <w:tcPr>
            <w:tcW w:w="280" w:type="dxa"/>
            <w:vAlign w:val="bottom"/>
            <w:shd w:val="clear" w:color="auto" w:fill="DDDDDD"/>
          </w:tcPr>
          <w:p>
            <w:pPr>
              <w:spacing w:after="0"/>
              <w:rPr>
                <w:sz w:val="12"/>
                <w:szCs w:val="12"/>
                <w:color w:val="auto"/>
              </w:rPr>
            </w:pPr>
          </w:p>
        </w:tc>
        <w:tc>
          <w:tcPr>
            <w:tcW w:w="380" w:type="dxa"/>
            <w:vAlign w:val="bottom"/>
            <w:shd w:val="clear" w:color="auto" w:fill="DDDDDD"/>
          </w:tcPr>
          <w:p>
            <w:pPr>
              <w:ind w:left="10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74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8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740" w:type="dxa"/>
            <w:vAlign w:val="bottom"/>
            <w:shd w:val="clear" w:color="auto" w:fill="DDDDDD"/>
          </w:tcPr>
          <w:p>
            <w:pPr>
              <w:jc w:val="right"/>
              <w:ind w:right="117"/>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780" w:type="dxa"/>
            <w:vAlign w:val="bottom"/>
            <w:gridSpan w:val="2"/>
            <w:shd w:val="clear" w:color="auto" w:fill="DDDDDD"/>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540" w:type="dxa"/>
            <w:vAlign w:val="bottom"/>
          </w:tcPr>
          <w:p>
            <w:pPr>
              <w:spacing w:after="0" w:line="129" w:lineRule="exact"/>
              <w:rPr>
                <w:sz w:val="20"/>
                <w:szCs w:val="20"/>
                <w:color w:val="auto"/>
              </w:rPr>
            </w:pPr>
            <w:r>
              <w:rPr>
                <w:rFonts w:ascii="Arial" w:cs="Arial" w:eastAsia="Arial" w:hAnsi="Arial"/>
                <w:sz w:val="13"/>
                <w:szCs w:val="13"/>
                <w:color w:val="auto"/>
              </w:rPr>
              <w:t>Issuance of Series F Convertible Preferred</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100"/>
              <w:spacing w:after="0" w:line="141" w:lineRule="exact"/>
              <w:rPr>
                <w:sz w:val="20"/>
                <w:szCs w:val="20"/>
                <w:color w:val="auto"/>
              </w:rPr>
            </w:pPr>
            <w:r>
              <w:rPr>
                <w:rFonts w:ascii="Arial" w:cs="Arial" w:eastAsia="Arial" w:hAnsi="Arial"/>
                <w:sz w:val="13"/>
                <w:szCs w:val="13"/>
                <w:color w:val="auto"/>
              </w:rPr>
              <w:t>Stock, net of $2,320 issuance costs</w:t>
            </w:r>
          </w:p>
        </w:tc>
        <w:tc>
          <w:tcPr>
            <w:tcW w:w="8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3,349,812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77"/>
              <w:spacing w:after="0" w:line="141" w:lineRule="exact"/>
              <w:rPr>
                <w:sz w:val="20"/>
                <w:szCs w:val="20"/>
                <w:color w:val="auto"/>
              </w:rPr>
            </w:pPr>
            <w:r>
              <w:rPr>
                <w:rFonts w:ascii="Arial" w:cs="Arial" w:eastAsia="Arial" w:hAnsi="Arial"/>
                <w:sz w:val="13"/>
                <w:szCs w:val="13"/>
                <w:color w:val="auto"/>
              </w:rPr>
              <w:t>78,511</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ind w:left="10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32,135</w:t>
            </w: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32,135</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5,007,898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10,383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10,383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Vesting of early-exercised stock options</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280" w:type="dxa"/>
            <w:vAlign w:val="bottom"/>
            <w:shd w:val="clear" w:color="auto" w:fill="DDDDDD"/>
          </w:tcPr>
          <w:p>
            <w:pPr>
              <w:spacing w:after="0"/>
              <w:rPr>
                <w:sz w:val="11"/>
                <w:szCs w:val="11"/>
                <w:color w:val="auto"/>
              </w:rPr>
            </w:pP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7</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(77,620)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(77,620)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BALANCE—December 31, 2020</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85,391,338</w:t>
            </w:r>
          </w:p>
        </w:tc>
        <w:tc>
          <w:tcPr>
            <w:tcW w:w="500" w:type="dxa"/>
            <w:vAlign w:val="bottom"/>
            <w:gridSpan w:val="2"/>
            <w:shd w:val="clear" w:color="auto" w:fill="DDDDDD"/>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274,104</w:t>
            </w:r>
          </w:p>
        </w:tc>
        <w:tc>
          <w:tcPr>
            <w:tcW w:w="240" w:type="dxa"/>
            <w:vAlign w:val="bottom"/>
            <w:tcBorders>
              <w:right w:val="single" w:sz="8" w:color="auto"/>
            </w:tcBorders>
            <w:shd w:val="clear" w:color="auto" w:fill="DDDDDD"/>
          </w:tcPr>
          <w:p>
            <w:pPr>
              <w:spacing w:after="0"/>
              <w:rPr>
                <w:sz w:val="11"/>
                <w:szCs w:val="11"/>
                <w:color w:val="auto"/>
              </w:rPr>
            </w:pPr>
          </w:p>
        </w:tc>
        <w:tc>
          <w:tcPr>
            <w:tcW w:w="1140" w:type="dxa"/>
            <w:vAlign w:val="bottom"/>
            <w:gridSpan w:val="2"/>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35,627,503</w:t>
            </w:r>
          </w:p>
        </w:tc>
        <w:tc>
          <w:tcPr>
            <w:tcW w:w="600" w:type="dxa"/>
            <w:vAlign w:val="bottom"/>
            <w:gridSpan w:val="2"/>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DDDDDD"/>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117,818</w:t>
            </w:r>
          </w:p>
        </w:tc>
        <w:tc>
          <w:tcPr>
            <w:tcW w:w="200" w:type="dxa"/>
            <w:vAlign w:val="bottom"/>
            <w:gridSpan w:val="2"/>
            <w:shd w:val="clear" w:color="auto" w:fill="DDDDDD"/>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DDDDDD"/>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(378,503)</w:t>
            </w:r>
          </w:p>
        </w:tc>
        <w:tc>
          <w:tcPr>
            <w:tcW w:w="260" w:type="dxa"/>
            <w:vAlign w:val="bottom"/>
            <w:gridSpan w:val="2"/>
            <w:shd w:val="clear" w:color="auto" w:fill="DDDDDD"/>
          </w:tcPr>
          <w:p>
            <w:pPr>
              <w:ind w:left="1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(260,685)</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Deficit (continued)</w:t>
      </w:r>
    </w:p>
    <w:p>
      <w:pPr>
        <w:jc w:val="center"/>
        <w:ind w:right="-99"/>
        <w:spacing w:after="0"/>
        <w:rPr>
          <w:sz w:val="20"/>
          <w:szCs w:val="20"/>
          <w:color w:val="auto"/>
        </w:rPr>
      </w:pPr>
      <w:r>
        <w:rPr>
          <w:rFonts w:ascii="Arial" w:cs="Arial" w:eastAsia="Arial" w:hAnsi="Arial"/>
          <w:sz w:val="18"/>
          <w:szCs w:val="18"/>
          <w:color w:val="auto"/>
        </w:rPr>
        <w:t>(in thousands, except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2460" w:type="dxa"/>
            <w:vAlign w:val="bottom"/>
          </w:tcPr>
          <w:p>
            <w:pPr>
              <w:spacing w:after="0"/>
              <w:rPr>
                <w:sz w:val="2"/>
                <w:szCs w:val="2"/>
                <w:color w:val="auto"/>
              </w:rPr>
            </w:pPr>
          </w:p>
        </w:tc>
        <w:tc>
          <w:tcPr>
            <w:tcW w:w="20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6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360" w:type="dxa"/>
            <w:vAlign w:val="bottom"/>
            <w:gridSpan w:val="3"/>
          </w:tcPr>
          <w:p>
            <w:pPr>
              <w:jc w:val="center"/>
              <w:ind w:left="577"/>
              <w:spacing w:after="0" w:line="135" w:lineRule="exact"/>
              <w:rPr>
                <w:sz w:val="20"/>
                <w:szCs w:val="20"/>
                <w:color w:val="auto"/>
              </w:rPr>
            </w:pPr>
            <w:r>
              <w:rPr>
                <w:rFonts w:ascii="Arial" w:cs="Arial" w:eastAsia="Arial" w:hAnsi="Arial"/>
                <w:sz w:val="13"/>
                <w:szCs w:val="13"/>
                <w:b w:val="1"/>
                <w:bCs w:val="1"/>
                <w:color w:val="auto"/>
                <w:w w:val="95"/>
              </w:rPr>
              <w:t>Convertible</w:t>
            </w: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8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8"/>
        </w:trPr>
        <w:tc>
          <w:tcPr>
            <w:tcW w:w="2460" w:type="dxa"/>
            <w:vAlign w:val="bottom"/>
            <w:tcBorders>
              <w:top w:val="single" w:sz="8" w:color="DDDDDD"/>
            </w:tcBorders>
            <w:shd w:val="clear" w:color="auto" w:fill="DDDDDD"/>
          </w:tcPr>
          <w:p>
            <w:pPr>
              <w:spacing w:after="0" w:line="129" w:lineRule="exact"/>
              <w:rPr>
                <w:sz w:val="20"/>
                <w:szCs w:val="20"/>
                <w:color w:val="auto"/>
              </w:rPr>
            </w:pPr>
            <w:r>
              <w:rPr>
                <w:rFonts w:ascii="Arial" w:cs="Arial" w:eastAsia="Arial" w:hAnsi="Arial"/>
                <w:sz w:val="13"/>
                <w:szCs w:val="13"/>
                <w:color w:val="auto"/>
              </w:rPr>
              <w:t>BALANCE—December 31, 2019</w:t>
            </w:r>
          </w:p>
        </w:tc>
        <w:tc>
          <w:tcPr>
            <w:tcW w:w="8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79,472,483</w:t>
            </w:r>
          </w:p>
        </w:tc>
        <w:tc>
          <w:tcPr>
            <w:tcW w:w="320" w:type="dxa"/>
            <w:vAlign w:val="bottom"/>
            <w:tcBorders>
              <w:top w:val="single" w:sz="8" w:color="DDDDDD"/>
            </w:tcBorders>
            <w:shd w:val="clear" w:color="auto" w:fill="DDDDDD"/>
          </w:tcPr>
          <w:p>
            <w:pPr>
              <w:spacing w:after="0"/>
              <w:rPr>
                <w:sz w:val="11"/>
                <w:szCs w:val="11"/>
                <w:color w:val="auto"/>
              </w:rPr>
            </w:pPr>
          </w:p>
        </w:tc>
        <w:tc>
          <w:tcPr>
            <w:tcW w:w="16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155,645</w:t>
            </w:r>
          </w:p>
        </w:tc>
        <w:tc>
          <w:tcPr>
            <w:tcW w:w="240" w:type="dxa"/>
            <w:vAlign w:val="bottom"/>
            <w:tcBorders>
              <w:top w:val="single" w:sz="8" w:color="DDDDDD"/>
              <w:right w:val="single" w:sz="8" w:color="auto"/>
            </w:tcBorders>
            <w:shd w:val="clear" w:color="auto" w:fill="DDDDDD"/>
          </w:tcPr>
          <w:p>
            <w:pPr>
              <w:spacing w:after="0"/>
              <w:rPr>
                <w:sz w:val="11"/>
                <w:szCs w:val="11"/>
                <w:color w:val="auto"/>
              </w:rPr>
            </w:pPr>
          </w:p>
        </w:tc>
        <w:tc>
          <w:tcPr>
            <w:tcW w:w="260" w:type="dxa"/>
            <w:vAlign w:val="bottom"/>
            <w:tcBorders>
              <w:top w:val="single" w:sz="8" w:color="DDDDDD"/>
            </w:tcBorders>
            <w:shd w:val="clear" w:color="auto" w:fill="DDDDDD"/>
          </w:tcPr>
          <w:p>
            <w:pPr>
              <w:spacing w:after="0"/>
              <w:rPr>
                <w:sz w:val="11"/>
                <w:szCs w:val="11"/>
                <w:color w:val="auto"/>
              </w:rPr>
            </w:pPr>
          </w:p>
        </w:tc>
        <w:tc>
          <w:tcPr>
            <w:tcW w:w="90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30,619,605</w:t>
            </w:r>
          </w:p>
        </w:tc>
        <w:tc>
          <w:tcPr>
            <w:tcW w:w="300" w:type="dxa"/>
            <w:vAlign w:val="bottom"/>
            <w:tcBorders>
              <w:top w:val="single" w:sz="8" w:color="DDDDDD"/>
            </w:tcBorders>
            <w:shd w:val="clear" w:color="auto" w:fill="DDDDDD"/>
          </w:tcPr>
          <w:p>
            <w:pPr>
              <w:spacing w:after="0"/>
              <w:rPr>
                <w:sz w:val="11"/>
                <w:szCs w:val="11"/>
                <w:color w:val="auto"/>
              </w:rPr>
            </w:pPr>
          </w:p>
        </w:tc>
        <w:tc>
          <w:tcPr>
            <w:tcW w:w="300" w:type="dxa"/>
            <w:vAlign w:val="bottom"/>
            <w:tcBorders>
              <w:top w:val="single" w:sz="8" w:color="auto"/>
            </w:tcBorders>
            <w:shd w:val="clear" w:color="auto" w:fill="DDDDDD"/>
          </w:tcPr>
          <w:p>
            <w:pPr>
              <w:jc w:val="right"/>
              <w:ind w:right="117"/>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DDDDDD"/>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75,293</w:t>
            </w:r>
          </w:p>
        </w:tc>
        <w:tc>
          <w:tcPr>
            <w:tcW w:w="14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DDDDDD"/>
          </w:tcPr>
          <w:p>
            <w:pPr>
              <w:ind w:left="60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jc w:val="right"/>
              <w:ind w:right="2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(300,883)</w:t>
            </w:r>
          </w:p>
        </w:tc>
        <w:tc>
          <w:tcPr>
            <w:tcW w:w="14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(225,590)</w:t>
            </w:r>
          </w:p>
        </w:tc>
        <w:tc>
          <w:tcPr>
            <w:tcW w:w="40" w:type="dxa"/>
            <w:vAlign w:val="bottom"/>
            <w:tcBorders>
              <w:top w:val="single" w:sz="8" w:color="DDDDDD"/>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Series E Convertible</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00"/>
              <w:spacing w:after="0" w:line="135" w:lineRule="exact"/>
              <w:rPr>
                <w:sz w:val="20"/>
                <w:szCs w:val="20"/>
                <w:color w:val="auto"/>
              </w:rPr>
            </w:pPr>
            <w:r>
              <w:rPr>
                <w:rFonts w:ascii="Arial" w:cs="Arial" w:eastAsia="Arial" w:hAnsi="Arial"/>
                <w:sz w:val="13"/>
                <w:szCs w:val="13"/>
                <w:color w:val="auto"/>
              </w:rPr>
              <w:t>Preferred Stock, net of $52 issuance</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00"/>
              <w:spacing w:after="0" w:line="141" w:lineRule="exact"/>
              <w:rPr>
                <w:sz w:val="20"/>
                <w:szCs w:val="20"/>
                <w:color w:val="auto"/>
              </w:rPr>
            </w:pPr>
            <w:r>
              <w:rPr>
                <w:rFonts w:ascii="Arial" w:cs="Arial" w:eastAsia="Arial" w:hAnsi="Arial"/>
                <w:sz w:val="13"/>
                <w:szCs w:val="13"/>
                <w:color w:val="auto"/>
              </w:rPr>
              <w:t>costs (unaudited)</w:t>
            </w:r>
          </w:p>
        </w:tc>
        <w:tc>
          <w:tcPr>
            <w:tcW w:w="8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2,569,043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39,948</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ind w:left="1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Stock-based compensation (unaudited)</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90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36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20,830</w:t>
            </w: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gridSpan w:val="2"/>
            <w:shd w:val="clear" w:color="auto" w:fill="DDDDDD"/>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6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20,830</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Exercise of stock options (unaudited)</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3,233,808</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6,843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shd w:val="clear" w:color="auto" w:fill="DDDDDD"/>
          </w:tcPr>
          <w:p>
            <w:pPr>
              <w:spacing w:after="0" w:line="129" w:lineRule="exact"/>
              <w:rPr>
                <w:sz w:val="20"/>
                <w:szCs w:val="20"/>
                <w:color w:val="auto"/>
              </w:rPr>
            </w:pPr>
            <w:r>
              <w:rPr>
                <w:rFonts w:ascii="Arial" w:cs="Arial" w:eastAsia="Arial" w:hAnsi="Arial"/>
                <w:sz w:val="13"/>
                <w:szCs w:val="13"/>
                <w:color w:val="auto"/>
              </w:rPr>
              <w:t>Vesting of early-exercised stock options</w:t>
            </w:r>
          </w:p>
        </w:tc>
        <w:tc>
          <w:tcPr>
            <w:tcW w:w="88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6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shd w:val="clear" w:color="auto" w:fill="DDDDDD"/>
          </w:tcPr>
          <w:p>
            <w:pPr>
              <w:ind w:left="100"/>
              <w:spacing w:after="0" w:line="141" w:lineRule="exact"/>
              <w:rPr>
                <w:sz w:val="20"/>
                <w:szCs w:val="20"/>
                <w:color w:val="auto"/>
              </w:rPr>
            </w:pPr>
            <w:r>
              <w:rPr>
                <w:rFonts w:ascii="Arial" w:cs="Arial" w:eastAsia="Arial" w:hAnsi="Arial"/>
                <w:sz w:val="13"/>
                <w:szCs w:val="13"/>
                <w:color w:val="auto"/>
              </w:rPr>
              <w:t>(unaudited)</w:t>
            </w:r>
          </w:p>
        </w:tc>
        <w:tc>
          <w:tcPr>
            <w:tcW w:w="8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68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90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00" w:type="dxa"/>
            <w:vAlign w:val="bottom"/>
            <w:shd w:val="clear" w:color="auto" w:fill="DDDDDD"/>
          </w:tcPr>
          <w:p>
            <w:pPr>
              <w:spacing w:after="0"/>
              <w:rPr>
                <w:sz w:val="12"/>
                <w:szCs w:val="12"/>
                <w:color w:val="auto"/>
              </w:rPr>
            </w:pPr>
          </w:p>
        </w:tc>
        <w:tc>
          <w:tcPr>
            <w:tcW w:w="300" w:type="dxa"/>
            <w:vAlign w:val="bottom"/>
            <w:shd w:val="clear" w:color="auto" w:fill="DDDDDD"/>
          </w:tcPr>
          <w:p>
            <w:pPr>
              <w:spacing w:after="0"/>
              <w:rPr>
                <w:sz w:val="12"/>
                <w:szCs w:val="12"/>
                <w:color w:val="auto"/>
              </w:rPr>
            </w:pPr>
          </w:p>
        </w:tc>
        <w:tc>
          <w:tcPr>
            <w:tcW w:w="360" w:type="dxa"/>
            <w:vAlign w:val="bottom"/>
            <w:shd w:val="clear" w:color="auto" w:fill="DDDDDD"/>
          </w:tcPr>
          <w:p>
            <w:pPr>
              <w:ind w:left="10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740" w:type="dxa"/>
            <w:vAlign w:val="bottom"/>
            <w:shd w:val="clear" w:color="auto" w:fill="DDDDDD"/>
          </w:tcPr>
          <w:p>
            <w:pPr>
              <w:jc w:val="right"/>
              <w:ind w:right="77"/>
              <w:spacing w:after="0" w:line="141" w:lineRule="exact"/>
              <w:rPr>
                <w:sz w:val="20"/>
                <w:szCs w:val="20"/>
                <w:color w:val="auto"/>
              </w:rPr>
            </w:pPr>
            <w:r>
              <w:rPr>
                <w:rFonts w:ascii="Arial" w:cs="Arial" w:eastAsia="Arial" w:hAnsi="Arial"/>
                <w:sz w:val="13"/>
                <w:szCs w:val="13"/>
                <w:color w:val="auto"/>
              </w:rPr>
              <w:t>7</w:t>
            </w:r>
          </w:p>
        </w:tc>
        <w:tc>
          <w:tcPr>
            <w:tcW w:w="14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940" w:type="dxa"/>
            <w:vAlign w:val="bottom"/>
            <w:gridSpan w:val="2"/>
            <w:shd w:val="clear" w:color="auto" w:fill="DDDDDD"/>
          </w:tcPr>
          <w:p>
            <w:pPr>
              <w:ind w:left="60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760" w:type="dxa"/>
            <w:vAlign w:val="bottom"/>
            <w:shd w:val="clear" w:color="auto" w:fill="DDDDDD"/>
          </w:tcPr>
          <w:p>
            <w:pPr>
              <w:jc w:val="right"/>
              <w:ind w:right="117"/>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740" w:type="dxa"/>
            <w:vAlign w:val="bottom"/>
            <w:shd w:val="clear" w:color="auto" w:fill="DDDDDD"/>
          </w:tcPr>
          <w:p>
            <w:pPr>
              <w:jc w:val="right"/>
              <w:ind w:right="117"/>
              <w:spacing w:after="0" w:line="141" w:lineRule="exact"/>
              <w:rPr>
                <w:sz w:val="20"/>
                <w:szCs w:val="20"/>
                <w:color w:val="auto"/>
              </w:rPr>
            </w:pPr>
            <w:r>
              <w:rPr>
                <w:rFonts w:ascii="Arial" w:cs="Arial" w:eastAsia="Arial" w:hAnsi="Arial"/>
                <w:sz w:val="13"/>
                <w:szCs w:val="13"/>
                <w:color w:val="auto"/>
              </w:rPr>
              <w:t>7</w:t>
            </w:r>
          </w:p>
        </w:tc>
        <w:tc>
          <w:tcPr>
            <w:tcW w:w="40" w:type="dxa"/>
            <w:vAlign w:val="bottom"/>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loss (unaudited)</w:t>
            </w:r>
          </w:p>
        </w:tc>
        <w:tc>
          <w:tcPr>
            <w:tcW w:w="8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(52,450)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(52,450)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BALANCE—June 30, 2020 (unaudited)</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82,041,526</w:t>
            </w:r>
          </w:p>
        </w:tc>
        <w:tc>
          <w:tcPr>
            <w:tcW w:w="480" w:type="dxa"/>
            <w:vAlign w:val="bottom"/>
            <w:gridSpan w:val="2"/>
            <w:shd w:val="clear" w:color="auto" w:fill="DDDDDD"/>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195,593</w:t>
            </w:r>
          </w:p>
        </w:tc>
        <w:tc>
          <w:tcPr>
            <w:tcW w:w="240" w:type="dxa"/>
            <w:vAlign w:val="bottom"/>
            <w:tcBorders>
              <w:right w:val="single" w:sz="8" w:color="auto"/>
            </w:tcBorders>
            <w:shd w:val="clear" w:color="auto" w:fill="DDDDDD"/>
          </w:tcPr>
          <w:p>
            <w:pPr>
              <w:spacing w:after="0"/>
              <w:rPr>
                <w:sz w:val="11"/>
                <w:szCs w:val="11"/>
                <w:color w:val="auto"/>
              </w:rPr>
            </w:pPr>
          </w:p>
        </w:tc>
        <w:tc>
          <w:tcPr>
            <w:tcW w:w="1160" w:type="dxa"/>
            <w:vAlign w:val="bottom"/>
            <w:gridSpan w:val="2"/>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33,853,413</w:t>
            </w:r>
          </w:p>
        </w:tc>
        <w:tc>
          <w:tcPr>
            <w:tcW w:w="600" w:type="dxa"/>
            <w:vAlign w:val="bottom"/>
            <w:gridSpan w:val="2"/>
            <w:shd w:val="clear" w:color="auto" w:fill="DDDDDD"/>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DDDDDD"/>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102,973</w:t>
            </w:r>
          </w:p>
        </w:tc>
        <w:tc>
          <w:tcPr>
            <w:tcW w:w="220" w:type="dxa"/>
            <w:vAlign w:val="bottom"/>
            <w:gridSpan w:val="2"/>
            <w:shd w:val="clear" w:color="auto" w:fill="DDDDDD"/>
          </w:tcPr>
          <w:p>
            <w:pPr>
              <w:ind w:left="140"/>
              <w:spacing w:after="0" w:line="135"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DDDDDD"/>
          </w:tcPr>
          <w:p>
            <w:pPr>
              <w:ind w:left="6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DDDDDD"/>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(353,333)</w:t>
            </w:r>
          </w:p>
        </w:tc>
        <w:tc>
          <w:tcPr>
            <w:tcW w:w="280" w:type="dxa"/>
            <w:vAlign w:val="bottom"/>
            <w:gridSpan w:val="2"/>
            <w:shd w:val="clear" w:color="auto" w:fill="DDDDDD"/>
          </w:tcPr>
          <w:p>
            <w:pPr>
              <w:ind w:left="14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(250,360)</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6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360" w:type="dxa"/>
            <w:vAlign w:val="bottom"/>
            <w:gridSpan w:val="3"/>
          </w:tcPr>
          <w:p>
            <w:pPr>
              <w:jc w:val="center"/>
              <w:ind w:left="577"/>
              <w:spacing w:after="0" w:line="135" w:lineRule="exact"/>
              <w:rPr>
                <w:sz w:val="20"/>
                <w:szCs w:val="20"/>
                <w:color w:val="auto"/>
              </w:rPr>
            </w:pPr>
            <w:r>
              <w:rPr>
                <w:rFonts w:ascii="Arial" w:cs="Arial" w:eastAsia="Arial" w:hAnsi="Arial"/>
                <w:sz w:val="13"/>
                <w:szCs w:val="13"/>
                <w:b w:val="1"/>
                <w:bCs w:val="1"/>
                <w:color w:val="auto"/>
                <w:w w:val="95"/>
              </w:rPr>
              <w:t>Convertible</w:t>
            </w: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2"/>
                <w:szCs w:val="12"/>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2"/>
                <w:szCs w:val="12"/>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8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9"/>
        </w:trPr>
        <w:tc>
          <w:tcPr>
            <w:tcW w:w="2460" w:type="dxa"/>
            <w:vAlign w:val="bottom"/>
            <w:tcBorders>
              <w:top w:val="single" w:sz="8" w:color="DDDDDD"/>
            </w:tcBorders>
            <w:shd w:val="clear" w:color="auto" w:fill="DDDDDD"/>
          </w:tcPr>
          <w:p>
            <w:pPr>
              <w:spacing w:after="0" w:line="129" w:lineRule="exact"/>
              <w:rPr>
                <w:sz w:val="20"/>
                <w:szCs w:val="20"/>
                <w:color w:val="auto"/>
              </w:rPr>
            </w:pPr>
            <w:r>
              <w:rPr>
                <w:rFonts w:ascii="Arial" w:cs="Arial" w:eastAsia="Arial" w:hAnsi="Arial"/>
                <w:sz w:val="13"/>
                <w:szCs w:val="13"/>
                <w:color w:val="auto"/>
              </w:rPr>
              <w:t>BALANCE—December 31, 2020</w:t>
            </w:r>
          </w:p>
        </w:tc>
        <w:tc>
          <w:tcPr>
            <w:tcW w:w="8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85,391,338</w:t>
            </w:r>
          </w:p>
        </w:tc>
        <w:tc>
          <w:tcPr>
            <w:tcW w:w="320" w:type="dxa"/>
            <w:vAlign w:val="bottom"/>
            <w:tcBorders>
              <w:top w:val="single" w:sz="8" w:color="DDDDDD"/>
            </w:tcBorders>
            <w:shd w:val="clear" w:color="auto" w:fill="DDDDDD"/>
          </w:tcPr>
          <w:p>
            <w:pPr>
              <w:spacing w:after="0"/>
              <w:rPr>
                <w:sz w:val="11"/>
                <w:szCs w:val="11"/>
                <w:color w:val="auto"/>
              </w:rPr>
            </w:pPr>
          </w:p>
        </w:tc>
        <w:tc>
          <w:tcPr>
            <w:tcW w:w="16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274,104</w:t>
            </w:r>
          </w:p>
        </w:tc>
        <w:tc>
          <w:tcPr>
            <w:tcW w:w="240" w:type="dxa"/>
            <w:vAlign w:val="bottom"/>
            <w:tcBorders>
              <w:top w:val="single" w:sz="8" w:color="DDDDDD"/>
              <w:right w:val="single" w:sz="8" w:color="auto"/>
            </w:tcBorders>
            <w:shd w:val="clear" w:color="auto" w:fill="DDDDDD"/>
          </w:tcPr>
          <w:p>
            <w:pPr>
              <w:spacing w:after="0"/>
              <w:rPr>
                <w:sz w:val="11"/>
                <w:szCs w:val="11"/>
                <w:color w:val="auto"/>
              </w:rPr>
            </w:pPr>
          </w:p>
        </w:tc>
        <w:tc>
          <w:tcPr>
            <w:tcW w:w="260" w:type="dxa"/>
            <w:vAlign w:val="bottom"/>
            <w:tcBorders>
              <w:top w:val="single" w:sz="8" w:color="DDDDDD"/>
            </w:tcBorders>
            <w:shd w:val="clear" w:color="auto" w:fill="DDDDDD"/>
          </w:tcPr>
          <w:p>
            <w:pPr>
              <w:spacing w:after="0"/>
              <w:rPr>
                <w:sz w:val="11"/>
                <w:szCs w:val="11"/>
                <w:color w:val="auto"/>
              </w:rPr>
            </w:pPr>
          </w:p>
        </w:tc>
        <w:tc>
          <w:tcPr>
            <w:tcW w:w="90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35,627,503</w:t>
            </w:r>
          </w:p>
        </w:tc>
        <w:tc>
          <w:tcPr>
            <w:tcW w:w="300" w:type="dxa"/>
            <w:vAlign w:val="bottom"/>
            <w:tcBorders>
              <w:top w:val="single" w:sz="8" w:color="DDDDDD"/>
            </w:tcBorders>
            <w:shd w:val="clear" w:color="auto" w:fill="DDDDDD"/>
          </w:tcPr>
          <w:p>
            <w:pPr>
              <w:spacing w:after="0"/>
              <w:rPr>
                <w:sz w:val="11"/>
                <w:szCs w:val="11"/>
                <w:color w:val="auto"/>
              </w:rPr>
            </w:pPr>
          </w:p>
        </w:tc>
        <w:tc>
          <w:tcPr>
            <w:tcW w:w="300" w:type="dxa"/>
            <w:vAlign w:val="bottom"/>
            <w:tcBorders>
              <w:top w:val="single" w:sz="8" w:color="auto"/>
            </w:tcBorders>
            <w:shd w:val="clear" w:color="auto" w:fill="DDDDDD"/>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DDDDDD"/>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117,818</w:t>
            </w:r>
          </w:p>
        </w:tc>
        <w:tc>
          <w:tcPr>
            <w:tcW w:w="14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DDDDDD"/>
          </w:tcPr>
          <w:p>
            <w:pPr>
              <w:ind w:left="60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jc w:val="right"/>
              <w:ind w:right="2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(378,503)</w:t>
            </w:r>
          </w:p>
        </w:tc>
        <w:tc>
          <w:tcPr>
            <w:tcW w:w="140" w:type="dxa"/>
            <w:vAlign w:val="bottom"/>
            <w:tcBorders>
              <w:top w:val="single" w:sz="8" w:color="DDDDDD"/>
            </w:tcBorders>
            <w:shd w:val="clear" w:color="auto" w:fill="DDDDDD"/>
          </w:tcPr>
          <w:p>
            <w:pPr>
              <w:spacing w:after="0"/>
              <w:rPr>
                <w:sz w:val="11"/>
                <w:szCs w:val="11"/>
                <w:color w:val="auto"/>
              </w:rPr>
            </w:pPr>
          </w:p>
        </w:tc>
        <w:tc>
          <w:tcPr>
            <w:tcW w:w="140" w:type="dxa"/>
            <w:vAlign w:val="bottom"/>
            <w:tcBorders>
              <w:top w:val="single" w:sz="8" w:color="auto"/>
            </w:tcBorders>
            <w:shd w:val="clear" w:color="auto" w:fill="DDDDDD"/>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DDDDD"/>
          </w:tcPr>
          <w:p>
            <w:pPr>
              <w:jc w:val="right"/>
              <w:ind w:right="77"/>
              <w:spacing w:after="0" w:line="129" w:lineRule="exact"/>
              <w:rPr>
                <w:sz w:val="20"/>
                <w:szCs w:val="20"/>
                <w:color w:val="auto"/>
              </w:rPr>
            </w:pPr>
            <w:r>
              <w:rPr>
                <w:rFonts w:ascii="Arial" w:cs="Arial" w:eastAsia="Arial" w:hAnsi="Arial"/>
                <w:sz w:val="13"/>
                <w:szCs w:val="13"/>
                <w:color w:val="auto"/>
              </w:rPr>
              <w:t>(260,685)</w:t>
            </w:r>
          </w:p>
        </w:tc>
        <w:tc>
          <w:tcPr>
            <w:tcW w:w="40" w:type="dxa"/>
            <w:vAlign w:val="bottom"/>
            <w:tcBorders>
              <w:top w:val="single" w:sz="8" w:color="DDDDDD"/>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Exercise of Series A-1 redeemable</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00"/>
              <w:spacing w:after="0" w:line="135" w:lineRule="exact"/>
              <w:rPr>
                <w:sz w:val="20"/>
                <w:szCs w:val="20"/>
                <w:color w:val="auto"/>
              </w:rPr>
            </w:pPr>
            <w:r>
              <w:rPr>
                <w:rFonts w:ascii="Arial" w:cs="Arial" w:eastAsia="Arial" w:hAnsi="Arial"/>
                <w:sz w:val="13"/>
                <w:szCs w:val="13"/>
                <w:color w:val="auto"/>
              </w:rPr>
              <w:t>convertible preferred stock warrants</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00"/>
              <w:spacing w:after="0" w:line="141" w:lineRule="exact"/>
              <w:rPr>
                <w:sz w:val="20"/>
                <w:szCs w:val="20"/>
                <w:color w:val="auto"/>
              </w:rPr>
            </w:pPr>
            <w:r>
              <w:rPr>
                <w:rFonts w:ascii="Arial" w:cs="Arial" w:eastAsia="Arial" w:hAnsi="Arial"/>
                <w:sz w:val="13"/>
                <w:szCs w:val="13"/>
                <w:color w:val="auto"/>
              </w:rPr>
              <w:t>(unaudited)</w:t>
            </w:r>
          </w:p>
        </w:tc>
        <w:tc>
          <w:tcPr>
            <w:tcW w:w="8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12,595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77"/>
              <w:spacing w:after="0" w:line="141" w:lineRule="exact"/>
              <w:rPr>
                <w:sz w:val="20"/>
                <w:szCs w:val="20"/>
                <w:color w:val="auto"/>
              </w:rPr>
            </w:pPr>
            <w:r>
              <w:rPr>
                <w:rFonts w:ascii="Arial" w:cs="Arial" w:eastAsia="Arial" w:hAnsi="Arial"/>
                <w:sz w:val="13"/>
                <w:szCs w:val="13"/>
                <w:color w:val="auto"/>
              </w:rPr>
              <w:t>163</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ind w:left="1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7"/>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Stock-based compensation (unaudited)</w:t>
            </w:r>
          </w:p>
        </w:tc>
        <w:tc>
          <w:tcPr>
            <w:tcW w:w="8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8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90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360" w:type="dxa"/>
            <w:vAlign w:val="bottom"/>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16,934</w:t>
            </w:r>
          </w:p>
        </w:tc>
        <w:tc>
          <w:tcPr>
            <w:tcW w:w="1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gridSpan w:val="2"/>
            <w:shd w:val="clear" w:color="auto" w:fill="DDDDDD"/>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6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jc w:val="right"/>
              <w:ind w:right="117"/>
              <w:spacing w:after="0" w:line="135" w:lineRule="exact"/>
              <w:rPr>
                <w:sz w:val="20"/>
                <w:szCs w:val="20"/>
                <w:color w:val="auto"/>
              </w:rPr>
            </w:pPr>
            <w:r>
              <w:rPr>
                <w:rFonts w:ascii="Arial" w:cs="Arial" w:eastAsia="Arial" w:hAnsi="Arial"/>
                <w:sz w:val="13"/>
                <w:szCs w:val="13"/>
                <w:color w:val="auto"/>
              </w:rPr>
              <w:t>16,934</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Exercise of stock options (unaudited)</w:t>
            </w:r>
          </w:p>
        </w:tc>
        <w:tc>
          <w:tcPr>
            <w:tcW w:w="8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1,896,030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6,360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DDDDDD"/>
          </w:tcPr>
          <w:p>
            <w:pPr>
              <w:spacing w:after="0" w:line="135" w:lineRule="exact"/>
              <w:rPr>
                <w:sz w:val="20"/>
                <w:szCs w:val="20"/>
                <w:color w:val="auto"/>
              </w:rPr>
            </w:pPr>
            <w:r>
              <w:rPr>
                <w:rFonts w:ascii="Arial" w:cs="Arial" w:eastAsia="Arial" w:hAnsi="Arial"/>
                <w:sz w:val="13"/>
                <w:szCs w:val="13"/>
                <w:color w:val="auto"/>
              </w:rPr>
              <w:t>Net loss (unaudited)</w:t>
            </w:r>
          </w:p>
        </w:tc>
        <w:tc>
          <w:tcPr>
            <w:tcW w:w="8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spacing w:after="0"/>
              <w:rPr>
                <w:sz w:val="11"/>
                <w:szCs w:val="11"/>
                <w:color w:val="auto"/>
              </w:rPr>
            </w:pPr>
          </w:p>
        </w:tc>
        <w:tc>
          <w:tcPr>
            <w:tcW w:w="160" w:type="dxa"/>
            <w:vAlign w:val="bottom"/>
            <w:tcBorders>
              <w:bottom w:val="single" w:sz="8" w:color="auto"/>
            </w:tcBorders>
            <w:shd w:val="clear" w:color="auto" w:fill="DDDDDD"/>
          </w:tcPr>
          <w:p>
            <w:pPr>
              <w:spacing w:after="0"/>
              <w:rPr>
                <w:sz w:val="11"/>
                <w:szCs w:val="11"/>
                <w:color w:val="auto"/>
              </w:rPr>
            </w:pPr>
          </w:p>
        </w:tc>
        <w:tc>
          <w:tcPr>
            <w:tcW w:w="68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90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DDDDDD"/>
          </w:tcPr>
          <w:p>
            <w:pPr>
              <w:spacing w:after="0"/>
              <w:rPr>
                <w:sz w:val="11"/>
                <w:szCs w:val="11"/>
                <w:color w:val="auto"/>
              </w:rPr>
            </w:pPr>
          </w:p>
        </w:tc>
        <w:tc>
          <w:tcPr>
            <w:tcW w:w="300" w:type="dxa"/>
            <w:vAlign w:val="bottom"/>
            <w:tcBorders>
              <w:bottom w:val="single" w:sz="8" w:color="auto"/>
            </w:tcBorders>
            <w:shd w:val="clear" w:color="auto" w:fill="DDDDDD"/>
          </w:tcPr>
          <w:p>
            <w:pPr>
              <w:spacing w:after="0"/>
              <w:rPr>
                <w:sz w:val="11"/>
                <w:szCs w:val="11"/>
                <w:color w:val="auto"/>
              </w:rPr>
            </w:pPr>
          </w:p>
        </w:tc>
        <w:tc>
          <w:tcPr>
            <w:tcW w:w="360" w:type="dxa"/>
            <w:vAlign w:val="bottom"/>
            <w:tcBorders>
              <w:bottom w:val="single" w:sz="8" w:color="auto"/>
            </w:tcBorders>
            <w:shd w:val="clear" w:color="auto" w:fill="DDDDDD"/>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80" w:type="dxa"/>
            <w:vAlign w:val="bottom"/>
            <w:tcBorders>
              <w:bottom w:val="single" w:sz="8" w:color="auto"/>
            </w:tcBorders>
            <w:shd w:val="clear" w:color="auto" w:fill="DDDDDD"/>
          </w:tcPr>
          <w:p>
            <w:pPr>
              <w:spacing w:after="0"/>
              <w:rPr>
                <w:sz w:val="11"/>
                <w:szCs w:val="11"/>
                <w:color w:val="auto"/>
              </w:rPr>
            </w:pPr>
          </w:p>
        </w:tc>
        <w:tc>
          <w:tcPr>
            <w:tcW w:w="74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1"/>
                <w:szCs w:val="11"/>
                <w:color w:val="auto"/>
              </w:rPr>
            </w:pPr>
          </w:p>
        </w:tc>
        <w:tc>
          <w:tcPr>
            <w:tcW w:w="80" w:type="dxa"/>
            <w:vAlign w:val="bottom"/>
            <w:tcBorders>
              <w:bottom w:val="single" w:sz="8" w:color="auto"/>
            </w:tcBorders>
            <w:shd w:val="clear" w:color="auto" w:fill="DDDDDD"/>
          </w:tcPr>
          <w:p>
            <w:pPr>
              <w:spacing w:after="0"/>
              <w:rPr>
                <w:sz w:val="11"/>
                <w:szCs w:val="11"/>
                <w:color w:val="auto"/>
              </w:rPr>
            </w:pPr>
          </w:p>
        </w:tc>
        <w:tc>
          <w:tcPr>
            <w:tcW w:w="860" w:type="dxa"/>
            <w:vAlign w:val="bottom"/>
            <w:tcBorders>
              <w:bottom w:val="single" w:sz="8" w:color="auto"/>
            </w:tcBorders>
            <w:shd w:val="clear" w:color="auto" w:fill="DDDDDD"/>
          </w:tcPr>
          <w:p>
            <w:pPr>
              <w:ind w:left="6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40" w:type="dxa"/>
            <w:vAlign w:val="bottom"/>
            <w:tcBorders>
              <w:bottom w:val="single" w:sz="8" w:color="auto"/>
            </w:tcBorders>
            <w:shd w:val="clear" w:color="auto" w:fill="DDDDDD"/>
          </w:tcPr>
          <w:p>
            <w:pPr>
              <w:spacing w:after="0"/>
              <w:rPr>
                <w:sz w:val="11"/>
                <w:szCs w:val="11"/>
                <w:color w:val="auto"/>
              </w:rPr>
            </w:pPr>
          </w:p>
        </w:tc>
        <w:tc>
          <w:tcPr>
            <w:tcW w:w="76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(29,380)</w:t>
            </w:r>
          </w:p>
        </w:tc>
        <w:tc>
          <w:tcPr>
            <w:tcW w:w="140" w:type="dxa"/>
            <w:vAlign w:val="bottom"/>
            <w:shd w:val="clear" w:color="auto" w:fill="DDDDDD"/>
          </w:tcPr>
          <w:p>
            <w:pPr>
              <w:spacing w:after="0"/>
              <w:rPr>
                <w:sz w:val="11"/>
                <w:szCs w:val="11"/>
                <w:color w:val="auto"/>
              </w:rPr>
            </w:pPr>
          </w:p>
        </w:tc>
        <w:tc>
          <w:tcPr>
            <w:tcW w:w="140" w:type="dxa"/>
            <w:vAlign w:val="bottom"/>
            <w:tcBorders>
              <w:bottom w:val="single" w:sz="8" w:color="auto"/>
            </w:tcBorders>
            <w:shd w:val="clear" w:color="auto" w:fill="DDDDDD"/>
          </w:tcPr>
          <w:p>
            <w:pPr>
              <w:spacing w:after="0"/>
              <w:rPr>
                <w:sz w:val="11"/>
                <w:szCs w:val="11"/>
                <w:color w:val="auto"/>
              </w:rPr>
            </w:pPr>
          </w:p>
        </w:tc>
        <w:tc>
          <w:tcPr>
            <w:tcW w:w="740" w:type="dxa"/>
            <w:vAlign w:val="bottom"/>
            <w:tcBorders>
              <w:bottom w:val="single" w:sz="8" w:color="auto"/>
            </w:tcBorders>
            <w:shd w:val="clear" w:color="auto" w:fill="DDDDDD"/>
          </w:tcPr>
          <w:p>
            <w:pPr>
              <w:jc w:val="right"/>
              <w:ind w:right="77"/>
              <w:spacing w:after="0" w:line="135" w:lineRule="exact"/>
              <w:rPr>
                <w:sz w:val="20"/>
                <w:szCs w:val="20"/>
                <w:color w:val="auto"/>
              </w:rPr>
            </w:pPr>
            <w:r>
              <w:rPr>
                <w:rFonts w:ascii="Arial" w:cs="Arial" w:eastAsia="Arial" w:hAnsi="Arial"/>
                <w:sz w:val="13"/>
                <w:szCs w:val="13"/>
                <w:color w:val="auto"/>
              </w:rPr>
              <w:t>(29,380)</w:t>
            </w:r>
          </w:p>
        </w:tc>
        <w:tc>
          <w:tcPr>
            <w:tcW w:w="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3"/>
                <w:szCs w:val="13"/>
                <w:color w:val="auto"/>
              </w:rPr>
              <w:t>BALANCE—June 30, 2021 (unaudited)</w:t>
            </w:r>
          </w:p>
        </w:tc>
        <w:tc>
          <w:tcPr>
            <w:tcW w:w="8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85,403,933</w:t>
            </w:r>
          </w:p>
        </w:tc>
        <w:tc>
          <w:tcPr>
            <w:tcW w:w="4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274,267</w:t>
            </w:r>
          </w:p>
        </w:tc>
        <w:tc>
          <w:tcPr>
            <w:tcW w:w="240" w:type="dxa"/>
            <w:vAlign w:val="bottom"/>
            <w:tcBorders>
              <w:right w:val="single" w:sz="8" w:color="auto"/>
            </w:tcBorders>
          </w:tcPr>
          <w:p>
            <w:pPr>
              <w:spacing w:after="0"/>
              <w:rPr>
                <w:sz w:val="12"/>
                <w:szCs w:val="12"/>
                <w:color w:val="auto"/>
              </w:rPr>
            </w:pPr>
          </w:p>
        </w:tc>
        <w:tc>
          <w:tcPr>
            <w:tcW w:w="1160" w:type="dxa"/>
            <w:vAlign w:val="bottom"/>
            <w:gridSpan w:val="2"/>
          </w:tcPr>
          <w:p>
            <w:pPr>
              <w:jc w:val="right"/>
              <w:ind w:right="77"/>
              <w:spacing w:after="0" w:line="142" w:lineRule="exact"/>
              <w:rPr>
                <w:sz w:val="20"/>
                <w:szCs w:val="20"/>
                <w:color w:val="auto"/>
              </w:rPr>
            </w:pPr>
            <w:r>
              <w:rPr>
                <w:rFonts w:ascii="Arial" w:cs="Arial" w:eastAsia="Arial" w:hAnsi="Arial"/>
                <w:sz w:val="13"/>
                <w:szCs w:val="13"/>
                <w:color w:val="auto"/>
              </w:rPr>
              <w:t>37,523,533</w:t>
            </w:r>
          </w:p>
        </w:tc>
        <w:tc>
          <w:tcPr>
            <w:tcW w:w="600" w:type="dxa"/>
            <w:vAlign w:val="bottom"/>
            <w:gridSpan w:val="2"/>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360" w:type="dxa"/>
            <w:vAlign w:val="bottom"/>
          </w:tcPr>
          <w:p>
            <w:pPr>
              <w:ind w:left="10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141,112</w:t>
            </w:r>
          </w:p>
        </w:tc>
        <w:tc>
          <w:tcPr>
            <w:tcW w:w="220" w:type="dxa"/>
            <w:vAlign w:val="bottom"/>
            <w:gridSpan w:val="2"/>
          </w:tcPr>
          <w:p>
            <w:pPr>
              <w:ind w:left="140"/>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00"/>
              <w:spacing w:after="0" w:line="142"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2"/>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(407,883)</w:t>
            </w:r>
          </w:p>
        </w:tc>
        <w:tc>
          <w:tcPr>
            <w:tcW w:w="280" w:type="dxa"/>
            <w:vAlign w:val="bottom"/>
            <w:gridSpan w:val="2"/>
          </w:tcPr>
          <w:p>
            <w:pPr>
              <w:ind w:left="140"/>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(266,771)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140"/>
          </w:cols>
          <w:pgMar w:left="320" w:top="459" w:right="439" w:bottom="1440" w:gutter="0" w:footer="0" w:header="0"/>
        </w:sectPr>
      </w:pPr>
    </w:p>
    <w:p>
      <w:pPr>
        <w:spacing w:after="0" w:line="22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8890</wp:posOffset>
            </wp:positionV>
            <wp:extent cx="16891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9" w:lineRule="exact"/>
        <w:rPr>
          <w:sz w:val="20"/>
          <w:szCs w:val="20"/>
          <w:color w:val="auto"/>
        </w:rPr>
      </w:pPr>
    </w:p>
    <w:p>
      <w:pPr>
        <w:ind w:left="5960"/>
        <w:spacing w:after="0"/>
        <w:tabs>
          <w:tab w:leader="none" w:pos="7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8890</wp:posOffset>
            </wp:positionV>
            <wp:extent cx="16891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9"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8120" w:space="720"/>
            <w:col w:w="23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(unaudited)</w:t>
            </w: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5400" w:type="dxa"/>
            <w:vAlign w:val="bottom"/>
            <w:shd w:val="clear" w:color="auto" w:fill="DDDDDD"/>
          </w:tcPr>
          <w:p>
            <w:pPr>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(69,703)</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(77,620)</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(52,450)</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(29,380)</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8,740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11,055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5,071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6,457</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420"/>
              <w:spacing w:after="0"/>
              <w:rPr>
                <w:sz w:val="20"/>
                <w:szCs w:val="20"/>
                <w:color w:val="auto"/>
              </w:rPr>
            </w:pPr>
            <w:r>
              <w:rPr>
                <w:rFonts w:ascii="Arial" w:cs="Arial" w:eastAsia="Arial" w:hAnsi="Arial"/>
                <w:sz w:val="14"/>
                <w:szCs w:val="14"/>
                <w:color w:val="auto"/>
              </w:rPr>
              <w:t>Amortization of deferred sales commissions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3,038</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7,486</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2,973</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7,233</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4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8,963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31,618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20,603</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16,484</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4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642</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182</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34</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170</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420"/>
              <w:spacing w:after="0"/>
              <w:rPr>
                <w:sz w:val="20"/>
                <w:szCs w:val="20"/>
                <w:color w:val="auto"/>
              </w:rPr>
            </w:pPr>
            <w:r>
              <w:rPr>
                <w:rFonts w:ascii="Arial" w:cs="Arial" w:eastAsia="Arial" w:hAnsi="Arial"/>
                <w:sz w:val="14"/>
                <w:szCs w:val="14"/>
                <w:color w:val="auto"/>
              </w:rPr>
              <w:t>Change in fair value of warrant liability</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400" w:type="dxa"/>
            <w:vAlign w:val="bottom"/>
            <w:shd w:val="clear" w:color="auto" w:fill="DDDDDD"/>
          </w:tcPr>
          <w:p>
            <w:pPr>
              <w:ind w:left="42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95</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8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400" w:type="dxa"/>
            <w:vAlign w:val="bottom"/>
          </w:tcPr>
          <w:p>
            <w:pPr>
              <w:ind w:left="6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86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(10,578)</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(19,632)</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(5,744)</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3,325</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8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(4,304)</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860"/>
              <w:spacing w:after="0"/>
              <w:rPr>
                <w:sz w:val="20"/>
                <w:szCs w:val="20"/>
                <w:color w:val="auto"/>
              </w:rPr>
            </w:pPr>
            <w:r>
              <w:rPr>
                <w:rFonts w:ascii="Arial" w:cs="Arial" w:eastAsia="Arial" w:hAnsi="Arial"/>
                <w:sz w:val="14"/>
                <w:szCs w:val="14"/>
                <w:color w:val="auto"/>
              </w:rPr>
              <w:t>Deferred contract costs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(10,685)</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(18,943)</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(6,271)</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(15,724)</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86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376</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8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3,837</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7,256</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(3,336)</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838</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86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17,723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11,942</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(2,776)</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860"/>
              <w:spacing w:after="0"/>
              <w:rPr>
                <w:sz w:val="20"/>
                <w:szCs w:val="20"/>
                <w:color w:val="auto"/>
              </w:rPr>
            </w:pPr>
            <w:r>
              <w:rPr>
                <w:rFonts w:ascii="Arial" w:cs="Arial" w:eastAsia="Arial" w:hAnsi="Arial"/>
                <w:sz w:val="14"/>
                <w:szCs w:val="14"/>
                <w:color w:val="auto"/>
              </w:rPr>
              <w:t>Accrued compensation and benefits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4,938</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10,828</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(1,675)</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(8,350)</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860"/>
              <w:spacing w:after="0"/>
              <w:rPr>
                <w:sz w:val="20"/>
                <w:szCs w:val="20"/>
                <w:color w:val="auto"/>
              </w:rPr>
            </w:pPr>
            <w:r>
              <w:rPr>
                <w:rFonts w:ascii="Arial" w:cs="Arial" w:eastAsia="Arial" w:hAnsi="Arial"/>
                <w:sz w:val="14"/>
                <w:szCs w:val="14"/>
                <w:color w:val="auto"/>
              </w:rPr>
              <w:t>Content costs payable</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3,113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6,615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5,808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(1,271)</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8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25,310</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54,667</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36,588</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21,596</w:t>
            </w:r>
          </w:p>
        </w:tc>
        <w:tc>
          <w:tcPr>
            <w:tcW w:w="40" w:type="dxa"/>
            <w:vAlign w:val="bottom"/>
            <w:shd w:val="clear" w:color="auto" w:fill="DDDDDD"/>
          </w:tcPr>
          <w:p>
            <w:pPr>
              <w:spacing w:after="0"/>
              <w:rPr>
                <w:sz w:val="14"/>
                <w:szCs w:val="14"/>
                <w:color w:val="auto"/>
              </w:rPr>
            </w:pPr>
          </w:p>
        </w:tc>
      </w:tr>
      <w:tr>
        <w:trPr>
          <w:trHeight w:val="169"/>
        </w:trPr>
        <w:tc>
          <w:tcPr>
            <w:tcW w:w="5400" w:type="dxa"/>
            <w:vAlign w:val="bottom"/>
          </w:tcPr>
          <w:p>
            <w:pPr>
              <w:ind w:left="86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997</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1080"/>
              <w:spacing w:after="0"/>
              <w:rPr>
                <w:sz w:val="20"/>
                <w:szCs w:val="20"/>
                <w:color w:val="auto"/>
              </w:rPr>
            </w:pPr>
            <w:r>
              <w:rPr>
                <w:rFonts w:ascii="Arial" w:cs="Arial" w:eastAsia="Arial" w:hAnsi="Arial"/>
                <w:sz w:val="14"/>
                <w:szCs w:val="14"/>
                <w:color w:val="auto"/>
              </w:rPr>
              <w:t>Net cash provided by / (used in) operating activities</w:t>
            </w: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(16,455)</w:t>
            </w:r>
          </w:p>
        </w:tc>
        <w:tc>
          <w:tcPr>
            <w:tcW w:w="260" w:type="dxa"/>
            <w:vAlign w:val="bottom"/>
            <w:shd w:val="clear" w:color="auto" w:fill="DDDDDD"/>
          </w:tcPr>
          <w:p>
            <w:pPr>
              <w:spacing w:after="0"/>
              <w:rPr>
                <w:sz w:val="14"/>
                <w:szCs w:val="14"/>
                <w:color w:val="auto"/>
              </w:rPr>
            </w:pP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9,624</w:t>
            </w:r>
          </w:p>
        </w:tc>
        <w:tc>
          <w:tcPr>
            <w:tcW w:w="260" w:type="dxa"/>
            <w:vAlign w:val="bottom"/>
            <w:shd w:val="clear" w:color="auto" w:fill="DDDDDD"/>
          </w:tcPr>
          <w:p>
            <w:pPr>
              <w:spacing w:after="0"/>
              <w:rPr>
                <w:sz w:val="14"/>
                <w:szCs w:val="14"/>
                <w:color w:val="auto"/>
              </w:rPr>
            </w:pP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13,222</w:t>
            </w:r>
          </w:p>
        </w:tc>
        <w:tc>
          <w:tcPr>
            <w:tcW w:w="240" w:type="dxa"/>
            <w:vAlign w:val="bottom"/>
            <w:shd w:val="clear" w:color="auto" w:fill="DDDDDD"/>
          </w:tcPr>
          <w:p>
            <w:pPr>
              <w:spacing w:after="0"/>
              <w:rPr>
                <w:sz w:val="14"/>
                <w:szCs w:val="14"/>
                <w:color w:val="auto"/>
              </w:rPr>
            </w:pPr>
          </w:p>
        </w:tc>
        <w:tc>
          <w:tcPr>
            <w:tcW w:w="440" w:type="dxa"/>
            <w:vAlign w:val="bottom"/>
            <w:tcBorders>
              <w:bottom w:val="single" w:sz="8" w:color="auto"/>
            </w:tcBorders>
            <w:shd w:val="clear" w:color="auto" w:fill="DDDDDD"/>
          </w:tcPr>
          <w:p>
            <w:pPr>
              <w:spacing w:after="0"/>
              <w:rPr>
                <w:sz w:val="14"/>
                <w:szCs w:val="1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(5,486)</w:t>
            </w:r>
          </w:p>
        </w:tc>
        <w:tc>
          <w:tcPr>
            <w:tcW w:w="40" w:type="dxa"/>
            <w:vAlign w:val="bottom"/>
            <w:shd w:val="clear" w:color="auto" w:fill="DDDDDD"/>
          </w:tcPr>
          <w:p>
            <w:pPr>
              <w:spacing w:after="0"/>
              <w:rPr>
                <w:sz w:val="14"/>
                <w:szCs w:val="14"/>
                <w:color w:val="auto"/>
              </w:rPr>
            </w:pPr>
          </w:p>
        </w:tc>
      </w:tr>
      <w:tr>
        <w:trPr>
          <w:trHeight w:val="169"/>
        </w:trPr>
        <w:tc>
          <w:tcPr>
            <w:tcW w:w="54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(3,328)</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(5,180)</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(2,939)</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(3,111)</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220"/>
              <w:spacing w:after="0"/>
              <w:rPr>
                <w:sz w:val="20"/>
                <w:szCs w:val="20"/>
                <w:color w:val="auto"/>
              </w:rPr>
            </w:pPr>
            <w:r>
              <w:rPr>
                <w:rFonts w:ascii="Arial" w:cs="Arial" w:eastAsia="Arial" w:hAnsi="Arial"/>
                <w:sz w:val="14"/>
                <w:szCs w:val="14"/>
                <w:color w:val="auto"/>
              </w:rPr>
              <w:t>Capitalized software costs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(7,793)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(9,357)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(4,051)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(6,680)</w:t>
            </w: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Purchase of marketable securities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(1,542)</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82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5400" w:type="dxa"/>
            <w:vAlign w:val="bottom"/>
          </w:tcPr>
          <w:p>
            <w:pPr>
              <w:ind w:left="220"/>
              <w:spacing w:after="0"/>
              <w:rPr>
                <w:sz w:val="20"/>
                <w:szCs w:val="20"/>
                <w:color w:val="auto"/>
              </w:rPr>
            </w:pPr>
            <w:r>
              <w:rPr>
                <w:rFonts w:ascii="Arial" w:cs="Arial" w:eastAsia="Arial" w:hAnsi="Arial"/>
                <w:sz w:val="14"/>
                <w:szCs w:val="14"/>
                <w:color w:val="auto"/>
              </w:rPr>
              <w:t>Proceeds from sale and maturity of marketable securities</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27,274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400" w:type="dxa"/>
            <w:vAlign w:val="bottom"/>
            <w:shd w:val="clear" w:color="auto" w:fill="DDDDDD"/>
          </w:tcPr>
          <w:p>
            <w:pPr>
              <w:ind w:left="1080"/>
              <w:spacing w:after="0"/>
              <w:rPr>
                <w:sz w:val="20"/>
                <w:szCs w:val="20"/>
                <w:color w:val="auto"/>
              </w:rPr>
            </w:pPr>
            <w:r>
              <w:rPr>
                <w:rFonts w:ascii="Arial" w:cs="Arial" w:eastAsia="Arial" w:hAnsi="Arial"/>
                <w:sz w:val="14"/>
                <w:szCs w:val="14"/>
                <w:color w:val="auto"/>
              </w:rPr>
              <w:t>Net cash provided by / (used in) investing activities</w:t>
            </w:r>
          </w:p>
        </w:tc>
        <w:tc>
          <w:tcPr>
            <w:tcW w:w="340" w:type="dxa"/>
            <w:vAlign w:val="bottom"/>
            <w:tcBorders>
              <w:top w:val="single" w:sz="8" w:color="auto"/>
              <w:bottom w:val="single" w:sz="8" w:color="auto"/>
            </w:tcBorders>
            <w:shd w:val="clear" w:color="auto" w:fill="DDDDDD"/>
          </w:tcPr>
          <w:p>
            <w:pPr>
              <w:spacing w:after="0"/>
              <w:rPr>
                <w:sz w:val="14"/>
                <w:szCs w:val="14"/>
                <w:color w:val="auto"/>
              </w:rPr>
            </w:pPr>
          </w:p>
        </w:tc>
        <w:tc>
          <w:tcPr>
            <w:tcW w:w="86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14,611</w:t>
            </w:r>
          </w:p>
        </w:tc>
        <w:tc>
          <w:tcPr>
            <w:tcW w:w="260" w:type="dxa"/>
            <w:vAlign w:val="bottom"/>
            <w:shd w:val="clear" w:color="auto" w:fill="DDDDDD"/>
          </w:tcPr>
          <w:p>
            <w:pPr>
              <w:spacing w:after="0"/>
              <w:rPr>
                <w:sz w:val="14"/>
                <w:szCs w:val="14"/>
                <w:color w:val="auto"/>
              </w:rPr>
            </w:pPr>
          </w:p>
        </w:tc>
        <w:tc>
          <w:tcPr>
            <w:tcW w:w="340" w:type="dxa"/>
            <w:vAlign w:val="bottom"/>
            <w:tcBorders>
              <w:top w:val="single" w:sz="8" w:color="auto"/>
              <w:bottom w:val="single" w:sz="8" w:color="auto"/>
            </w:tcBorders>
            <w:shd w:val="clear" w:color="auto" w:fill="DDDDDD"/>
          </w:tcPr>
          <w:p>
            <w:pPr>
              <w:spacing w:after="0"/>
              <w:rPr>
                <w:sz w:val="14"/>
                <w:szCs w:val="14"/>
                <w:color w:val="auto"/>
              </w:rPr>
            </w:pP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(14,537)</w:t>
            </w:r>
          </w:p>
        </w:tc>
        <w:tc>
          <w:tcPr>
            <w:tcW w:w="260" w:type="dxa"/>
            <w:vAlign w:val="bottom"/>
            <w:shd w:val="clear" w:color="auto" w:fill="DDDDDD"/>
          </w:tcPr>
          <w:p>
            <w:pPr>
              <w:spacing w:after="0"/>
              <w:rPr>
                <w:sz w:val="14"/>
                <w:szCs w:val="14"/>
                <w:color w:val="auto"/>
              </w:rPr>
            </w:pPr>
          </w:p>
        </w:tc>
        <w:tc>
          <w:tcPr>
            <w:tcW w:w="340" w:type="dxa"/>
            <w:vAlign w:val="bottom"/>
            <w:tcBorders>
              <w:top w:val="single" w:sz="8" w:color="auto"/>
              <w:bottom w:val="single" w:sz="8" w:color="auto"/>
            </w:tcBorders>
            <w:shd w:val="clear" w:color="auto" w:fill="DDDDDD"/>
          </w:tcPr>
          <w:p>
            <w:pPr>
              <w:spacing w:after="0"/>
              <w:rPr>
                <w:sz w:val="14"/>
                <w:szCs w:val="14"/>
                <w:color w:val="auto"/>
              </w:rPr>
            </w:pP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(6,990)</w:t>
            </w:r>
          </w:p>
        </w:tc>
        <w:tc>
          <w:tcPr>
            <w:tcW w:w="240" w:type="dxa"/>
            <w:vAlign w:val="bottom"/>
            <w:shd w:val="clear" w:color="auto" w:fill="DDDDDD"/>
          </w:tcPr>
          <w:p>
            <w:pPr>
              <w:spacing w:after="0"/>
              <w:rPr>
                <w:sz w:val="14"/>
                <w:szCs w:val="14"/>
                <w:color w:val="auto"/>
              </w:rPr>
            </w:pPr>
          </w:p>
        </w:tc>
        <w:tc>
          <w:tcPr>
            <w:tcW w:w="440" w:type="dxa"/>
            <w:vAlign w:val="bottom"/>
            <w:tcBorders>
              <w:top w:val="single" w:sz="8" w:color="auto"/>
              <w:bottom w:val="single" w:sz="8" w:color="auto"/>
            </w:tcBorders>
            <w:shd w:val="clear" w:color="auto" w:fill="DDDDDD"/>
          </w:tcPr>
          <w:p>
            <w:pPr>
              <w:spacing w:after="0"/>
              <w:rPr>
                <w:sz w:val="14"/>
                <w:szCs w:val="14"/>
                <w:color w:val="auto"/>
              </w:rPr>
            </w:pPr>
          </w:p>
        </w:tc>
        <w:tc>
          <w:tcPr>
            <w:tcW w:w="7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(9,791)</w:t>
            </w:r>
          </w:p>
        </w:tc>
        <w:tc>
          <w:tcPr>
            <w:tcW w:w="40" w:type="dxa"/>
            <w:vAlign w:val="bottom"/>
            <w:shd w:val="clear" w:color="auto" w:fill="DDDDDD"/>
          </w:tcPr>
          <w:p>
            <w:pPr>
              <w:spacing w:after="0"/>
              <w:rPr>
                <w:sz w:val="14"/>
                <w:szCs w:val="14"/>
                <w:color w:val="auto"/>
              </w:rPr>
            </w:pPr>
          </w:p>
        </w:tc>
      </w:tr>
      <w:tr>
        <w:trPr>
          <w:trHeight w:val="169"/>
        </w:trPr>
        <w:tc>
          <w:tcPr>
            <w:tcW w:w="54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Net proceeds from exercise of stock options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11,265</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10,383</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6,919</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6,004</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220"/>
              <w:spacing w:after="0"/>
              <w:rPr>
                <w:sz w:val="20"/>
                <w:szCs w:val="20"/>
                <w:color w:val="auto"/>
              </w:rPr>
            </w:pPr>
            <w:r>
              <w:rPr>
                <w:rFonts w:ascii="Arial" w:cs="Arial" w:eastAsia="Arial" w:hAnsi="Arial"/>
                <w:sz w:val="14"/>
                <w:szCs w:val="14"/>
                <w:color w:val="auto"/>
              </w:rPr>
              <w:t>Net proceeds from issuance of redeemable convertible preferred stock</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120,710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39,948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Payment of redeemable convertible preferred stock issuance costs</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(2,250)</w:t>
            </w:r>
          </w:p>
        </w:tc>
        <w:tc>
          <w:tcPr>
            <w:tcW w:w="40" w:type="dxa"/>
            <w:vAlign w:val="bottom"/>
            <w:shd w:val="clear" w:color="auto" w:fill="DDDDDD"/>
          </w:tcPr>
          <w:p>
            <w:pPr>
              <w:spacing w:after="0"/>
              <w:rPr>
                <w:sz w:val="14"/>
                <w:szCs w:val="14"/>
                <w:color w:val="auto"/>
              </w:rPr>
            </w:pPr>
          </w:p>
        </w:tc>
      </w:tr>
      <w:tr>
        <w:trPr>
          <w:trHeight w:val="162"/>
        </w:trPr>
        <w:tc>
          <w:tcPr>
            <w:tcW w:w="5400" w:type="dxa"/>
            <w:vAlign w:val="bottom"/>
          </w:tcPr>
          <w:p>
            <w:pPr>
              <w:ind w:left="220"/>
              <w:spacing w:after="0"/>
              <w:rPr>
                <w:sz w:val="20"/>
                <w:szCs w:val="20"/>
                <w:color w:val="auto"/>
              </w:rPr>
            </w:pPr>
            <w:r>
              <w:rPr>
                <w:rFonts w:ascii="Arial" w:cs="Arial" w:eastAsia="Arial" w:hAnsi="Arial"/>
                <w:sz w:val="14"/>
                <w:szCs w:val="14"/>
                <w:color w:val="auto"/>
              </w:rPr>
              <w:t>Payment of deferred offering costs</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(313)</w:t>
            </w:r>
          </w:p>
        </w:tc>
        <w:tc>
          <w:tcPr>
            <w:tcW w:w="40" w:type="dxa"/>
            <w:vAlign w:val="bottom"/>
          </w:tcPr>
          <w:p>
            <w:pPr>
              <w:spacing w:after="0"/>
              <w:rPr>
                <w:sz w:val="14"/>
                <w:szCs w:val="14"/>
                <w:color w:val="auto"/>
              </w:rPr>
            </w:pPr>
          </w:p>
        </w:tc>
      </w:tr>
      <w:tr>
        <w:trPr>
          <w:trHeight w:val="167"/>
        </w:trPr>
        <w:tc>
          <w:tcPr>
            <w:tcW w:w="5400" w:type="dxa"/>
            <w:vAlign w:val="bottom"/>
            <w:shd w:val="clear" w:color="auto" w:fill="DDDDDD"/>
          </w:tcPr>
          <w:p>
            <w:pPr>
              <w:ind w:left="220"/>
              <w:spacing w:after="0"/>
              <w:rPr>
                <w:sz w:val="20"/>
                <w:szCs w:val="20"/>
                <w:color w:val="auto"/>
              </w:rPr>
            </w:pPr>
            <w:r>
              <w:rPr>
                <w:rFonts w:ascii="Arial" w:cs="Arial" w:eastAsia="Arial" w:hAnsi="Arial"/>
                <w:sz w:val="14"/>
                <w:szCs w:val="14"/>
                <w:color w:val="auto"/>
              </w:rPr>
              <w:t>Net proceeds from exercise of Series A-1 redeemable convertible preferred</w:t>
            </w: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71"/>
        </w:trPr>
        <w:tc>
          <w:tcPr>
            <w:tcW w:w="5400" w:type="dxa"/>
            <w:vAlign w:val="bottom"/>
            <w:shd w:val="clear" w:color="auto" w:fill="DDDDDD"/>
          </w:tcPr>
          <w:p>
            <w:pPr>
              <w:ind w:left="320"/>
              <w:spacing w:after="0"/>
              <w:rPr>
                <w:sz w:val="20"/>
                <w:szCs w:val="20"/>
                <w:color w:val="auto"/>
              </w:rPr>
            </w:pPr>
            <w:r>
              <w:rPr>
                <w:rFonts w:ascii="Arial" w:cs="Arial" w:eastAsia="Arial" w:hAnsi="Arial"/>
                <w:sz w:val="14"/>
                <w:szCs w:val="14"/>
                <w:color w:val="auto"/>
              </w:rPr>
              <w:t>stock warrants</w:t>
            </w: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4"/>
                <w:szCs w:val="14"/>
                <w:color w:val="auto"/>
              </w:rPr>
            </w:pPr>
          </w:p>
        </w:tc>
        <w:tc>
          <w:tcPr>
            <w:tcW w:w="34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4"/>
                <w:szCs w:val="14"/>
                <w:color w:val="auto"/>
              </w:rPr>
            </w:pPr>
          </w:p>
        </w:tc>
        <w:tc>
          <w:tcPr>
            <w:tcW w:w="440" w:type="dxa"/>
            <w:vAlign w:val="bottom"/>
            <w:tcBorders>
              <w:bottom w:val="single" w:sz="8" w:color="auto"/>
            </w:tcBorders>
            <w:shd w:val="clear" w:color="auto" w:fill="DDDDDD"/>
          </w:tcPr>
          <w:p>
            <w:pPr>
              <w:spacing w:after="0"/>
              <w:rPr>
                <w:sz w:val="14"/>
                <w:szCs w:val="14"/>
                <w:color w:val="auto"/>
              </w:rPr>
            </w:pPr>
          </w:p>
        </w:tc>
        <w:tc>
          <w:tcPr>
            <w:tcW w:w="7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w:t>
            </w:r>
          </w:p>
        </w:tc>
        <w:tc>
          <w:tcPr>
            <w:tcW w:w="40" w:type="dxa"/>
            <w:vAlign w:val="bottom"/>
            <w:shd w:val="clear" w:color="auto" w:fill="DDDDDD"/>
          </w:tcPr>
          <w:p>
            <w:pPr>
              <w:spacing w:after="0"/>
              <w:rPr>
                <w:sz w:val="14"/>
                <w:szCs w:val="14"/>
                <w:color w:val="auto"/>
              </w:rPr>
            </w:pPr>
          </w:p>
        </w:tc>
      </w:tr>
      <w:tr>
        <w:trPr>
          <w:trHeight w:val="169"/>
        </w:trPr>
        <w:tc>
          <w:tcPr>
            <w:tcW w:w="5400" w:type="dxa"/>
            <w:vAlign w:val="bottom"/>
          </w:tcPr>
          <w:p>
            <w:pPr>
              <w:ind w:left="10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11,265</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131,093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46,867</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3,444</w:t>
            </w:r>
          </w:p>
        </w:tc>
        <w:tc>
          <w:tcPr>
            <w:tcW w:w="40" w:type="dxa"/>
            <w:vAlign w:val="bottom"/>
          </w:tcPr>
          <w:p>
            <w:pPr>
              <w:spacing w:after="0"/>
              <w:rPr>
                <w:sz w:val="14"/>
                <w:szCs w:val="14"/>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140"/>
          </w:cols>
          <w:pgMar w:left="320" w:top="459" w:right="43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140"/>
          </w:cols>
          <w:pgMar w:left="320" w:top="459" w:right="439" w:bottom="1440" w:gutter="0" w:footer="0" w:header="0"/>
        </w:sectPr>
      </w:pP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8890</wp:posOffset>
            </wp:positionV>
            <wp:extent cx="16802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9" w:lineRule="exact"/>
        <w:rPr>
          <w:sz w:val="20"/>
          <w:szCs w:val="20"/>
          <w:color w:val="auto"/>
        </w:rPr>
      </w:pPr>
    </w:p>
    <w:p>
      <w:pPr>
        <w:ind w:left="6080"/>
        <w:spacing w:after="0"/>
        <w:tabs>
          <w:tab w:leader="none" w:pos="7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8890</wp:posOffset>
            </wp:positionV>
            <wp:extent cx="16973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9"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8100" w:space="720"/>
            <w:col w:w="2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(unaudited)</w:t>
            </w: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DDDDDD"/>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9,421</w:t>
            </w:r>
          </w:p>
        </w:tc>
        <w:tc>
          <w:tcPr>
            <w:tcW w:w="14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126,180</w:t>
            </w:r>
          </w:p>
        </w:tc>
        <w:tc>
          <w:tcPr>
            <w:tcW w:w="14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53,099</w:t>
            </w:r>
          </w:p>
        </w:tc>
        <w:tc>
          <w:tcPr>
            <w:tcW w:w="14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(11,833)</w:t>
            </w: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42,330</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51,751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51,751</w:t>
            </w: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177,931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DDDDDD"/>
          </w:tcPr>
          <w:p>
            <w:pPr>
              <w:spacing w:after="0"/>
              <w:rPr>
                <w:sz w:val="20"/>
                <w:szCs w:val="20"/>
                <w:color w:val="auto"/>
              </w:rPr>
            </w:pPr>
            <w:r>
              <w:rPr>
                <w:rFonts w:ascii="Arial" w:cs="Arial" w:eastAsia="Arial" w:hAnsi="Arial"/>
                <w:sz w:val="14"/>
                <w:szCs w:val="14"/>
                <w:color w:val="auto"/>
              </w:rPr>
              <w:t>CASH, CASH EQUIVALENTS AND RESTRICTED CASH—End of period</w:t>
            </w:r>
          </w:p>
        </w:tc>
        <w:tc>
          <w:tcPr>
            <w:tcW w:w="58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51,751</w:t>
            </w:r>
          </w:p>
        </w:tc>
        <w:tc>
          <w:tcPr>
            <w:tcW w:w="5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177,931</w:t>
            </w:r>
          </w:p>
        </w:tc>
        <w:tc>
          <w:tcPr>
            <w:tcW w:w="5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104,850</w:t>
            </w:r>
          </w:p>
        </w:tc>
        <w:tc>
          <w:tcPr>
            <w:tcW w:w="640" w:type="dxa"/>
            <w:vAlign w:val="bottom"/>
            <w:gridSpan w:val="2"/>
            <w:shd w:val="clear" w:color="auto" w:fill="DDDDDD"/>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166,098</w:t>
            </w: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DDDDDD"/>
          </w:tcPr>
          <w:p>
            <w:pPr>
              <w:ind w:left="220"/>
              <w:spacing w:after="0"/>
              <w:rPr>
                <w:sz w:val="20"/>
                <w:szCs w:val="20"/>
                <w:color w:val="auto"/>
              </w:rPr>
            </w:pPr>
            <w:r>
              <w:rPr>
                <w:rFonts w:ascii="Arial" w:cs="Arial" w:eastAsia="Arial" w:hAnsi="Arial"/>
                <w:sz w:val="14"/>
                <w:szCs w:val="14"/>
                <w:color w:val="auto"/>
              </w:rPr>
              <w:t>Interest paid</w:t>
            </w:r>
          </w:p>
        </w:tc>
        <w:tc>
          <w:tcPr>
            <w:tcW w:w="58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w:t>
            </w:r>
          </w:p>
        </w:tc>
        <w:tc>
          <w:tcPr>
            <w:tcW w:w="5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48</w:t>
            </w:r>
          </w:p>
        </w:tc>
        <w:tc>
          <w:tcPr>
            <w:tcW w:w="520" w:type="dxa"/>
            <w:vAlign w:val="bottom"/>
            <w:gridSpan w:val="2"/>
            <w:shd w:val="clear" w:color="auto" w:fill="DDDDDD"/>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35</w:t>
            </w:r>
          </w:p>
        </w:tc>
        <w:tc>
          <w:tcPr>
            <w:tcW w:w="640" w:type="dxa"/>
            <w:vAlign w:val="bottom"/>
            <w:gridSpan w:val="2"/>
            <w:shd w:val="clear" w:color="auto" w:fill="DDDDDD"/>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57</w:t>
            </w: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20"/>
              <w:spacing w:after="0"/>
              <w:rPr>
                <w:sz w:val="20"/>
                <w:szCs w:val="20"/>
                <w:color w:val="auto"/>
              </w:rPr>
            </w:pPr>
            <w:r>
              <w:rPr>
                <w:rFonts w:ascii="Arial" w:cs="Arial" w:eastAsia="Arial" w:hAnsi="Arial"/>
                <w:sz w:val="14"/>
                <w:szCs w:val="14"/>
                <w:color w:val="auto"/>
              </w:rPr>
              <w:t>Income taxes paid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DDDDDD"/>
          </w:tcPr>
          <w:p>
            <w:pPr>
              <w:spacing w:after="0"/>
              <w:rPr>
                <w:sz w:val="20"/>
                <w:szCs w:val="20"/>
                <w:color w:val="auto"/>
              </w:rPr>
            </w:pPr>
            <w:r>
              <w:rPr>
                <w:rFonts w:ascii="Arial" w:cs="Arial" w:eastAsia="Arial" w:hAnsi="Arial"/>
                <w:sz w:val="14"/>
                <w:szCs w:val="14"/>
                <w:color w:val="auto"/>
              </w:rPr>
              <w:t>SUPPLEMENTAL DISCLOSURE OF NON-CASH INVESTING AND FINANCING</w:t>
            </w:r>
          </w:p>
        </w:tc>
        <w:tc>
          <w:tcPr>
            <w:tcW w:w="18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8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8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20" w:type="dxa"/>
            <w:vAlign w:val="bottom"/>
            <w:shd w:val="clear" w:color="auto" w:fill="DDDDDD"/>
          </w:tcPr>
          <w:p>
            <w:pPr>
              <w:spacing w:after="0" w:line="157"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DDDDDD"/>
          </w:tcPr>
          <w:p>
            <w:pPr>
              <w:spacing w:after="0"/>
              <w:rPr>
                <w:sz w:val="13"/>
                <w:szCs w:val="13"/>
                <w:color w:val="auto"/>
              </w:rPr>
            </w:pPr>
          </w:p>
        </w:tc>
        <w:tc>
          <w:tcPr>
            <w:tcW w:w="4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780" w:type="dxa"/>
            <w:vAlign w:val="bottom"/>
            <w:shd w:val="clear" w:color="auto" w:fill="DDDDDD"/>
          </w:tcPr>
          <w:p>
            <w:pPr>
              <w:spacing w:after="0"/>
              <w:rPr>
                <w:sz w:val="13"/>
                <w:szCs w:val="13"/>
                <w:color w:val="auto"/>
              </w:rPr>
            </w:pPr>
          </w:p>
        </w:tc>
        <w:tc>
          <w:tcPr>
            <w:tcW w:w="6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20"/>
              <w:spacing w:after="0"/>
              <w:rPr>
                <w:sz w:val="20"/>
                <w:szCs w:val="20"/>
                <w:color w:val="auto"/>
              </w:rPr>
            </w:pPr>
            <w:r>
              <w:rPr>
                <w:rFonts w:ascii="Arial" w:cs="Arial" w:eastAsia="Arial" w:hAnsi="Arial"/>
                <w:sz w:val="14"/>
                <w:szCs w:val="14"/>
                <w:color w:val="auto"/>
              </w:rPr>
              <w:t>Accrued redeemable convertible preferred stock issuance costs</w:t>
            </w:r>
          </w:p>
        </w:tc>
        <w:tc>
          <w:tcPr>
            <w:tcW w:w="5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2,250</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20" w:type="dxa"/>
            <w:vAlign w:val="bottom"/>
            <w:shd w:val="clear" w:color="auto" w:fill="DDDDDD"/>
          </w:tcPr>
          <w:p>
            <w:pPr>
              <w:ind w:left="220"/>
              <w:spacing w:after="0"/>
              <w:rPr>
                <w:sz w:val="20"/>
                <w:szCs w:val="20"/>
                <w:color w:val="auto"/>
              </w:rPr>
            </w:pPr>
            <w:r>
              <w:rPr>
                <w:rFonts w:ascii="Arial" w:cs="Arial" w:eastAsia="Arial" w:hAnsi="Arial"/>
                <w:sz w:val="14"/>
                <w:szCs w:val="14"/>
                <w:color w:val="auto"/>
              </w:rPr>
              <w:t>Unpaid deferred offering costs</w:t>
            </w:r>
          </w:p>
        </w:tc>
        <w:tc>
          <w:tcPr>
            <w:tcW w:w="18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7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1,903</w:t>
            </w: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20"/>
              <w:spacing w:after="0"/>
              <w:rPr>
                <w:sz w:val="20"/>
                <w:szCs w:val="20"/>
                <w:color w:val="auto"/>
              </w:rPr>
            </w:pPr>
            <w:r>
              <w:rPr>
                <w:rFonts w:ascii="Arial" w:cs="Arial" w:eastAsia="Arial" w:hAnsi="Arial"/>
                <w:sz w:val="14"/>
                <w:szCs w:val="14"/>
                <w:color w:val="auto"/>
              </w:rPr>
              <w:t>Stock-based compensation in capitalized software costs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749</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DDDDDD"/>
          </w:tcPr>
          <w:p>
            <w:pPr>
              <w:ind w:left="220"/>
              <w:spacing w:after="0"/>
              <w:rPr>
                <w:sz w:val="20"/>
                <w:szCs w:val="20"/>
                <w:color w:val="auto"/>
              </w:rPr>
            </w:pPr>
            <w:r>
              <w:rPr>
                <w:rFonts w:ascii="Arial" w:cs="Arial" w:eastAsia="Arial" w:hAnsi="Arial"/>
                <w:sz w:val="14"/>
                <w:szCs w:val="14"/>
                <w:color w:val="auto"/>
              </w:rPr>
              <w:t>Changes in purchases of property and equipment in accounts payable and</w:t>
            </w:r>
          </w:p>
        </w:tc>
        <w:tc>
          <w:tcPr>
            <w:tcW w:w="18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84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8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500" w:type="dxa"/>
            <w:vAlign w:val="bottom"/>
            <w:shd w:val="clear" w:color="auto" w:fill="DDDDDD"/>
          </w:tcPr>
          <w:p>
            <w:pPr>
              <w:spacing w:after="0"/>
              <w:rPr>
                <w:sz w:val="14"/>
                <w:szCs w:val="14"/>
                <w:color w:val="auto"/>
              </w:rPr>
            </w:pPr>
          </w:p>
        </w:tc>
        <w:tc>
          <w:tcPr>
            <w:tcW w:w="78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20" w:type="dxa"/>
            <w:vAlign w:val="bottom"/>
            <w:shd w:val="clear" w:color="auto" w:fill="DDDDDD"/>
          </w:tcPr>
          <w:p>
            <w:pPr>
              <w:ind w:left="320"/>
              <w:spacing w:after="0" w:line="157" w:lineRule="exact"/>
              <w:rPr>
                <w:sz w:val="20"/>
                <w:szCs w:val="20"/>
                <w:color w:val="auto"/>
              </w:rPr>
            </w:pPr>
            <w:r>
              <w:rPr>
                <w:rFonts w:ascii="Arial" w:cs="Arial" w:eastAsia="Arial" w:hAnsi="Arial"/>
                <w:sz w:val="14"/>
                <w:szCs w:val="14"/>
                <w:color w:val="auto"/>
              </w:rPr>
              <w:t>accrued expenses</w:t>
            </w:r>
          </w:p>
        </w:tc>
        <w:tc>
          <w:tcPr>
            <w:tcW w:w="180" w:type="dxa"/>
            <w:vAlign w:val="bottom"/>
            <w:shd w:val="clear" w:color="auto" w:fill="DDDDDD"/>
          </w:tcPr>
          <w:p>
            <w:pPr>
              <w:spacing w:after="0"/>
              <w:rPr>
                <w:sz w:val="13"/>
                <w:szCs w:val="13"/>
                <w:color w:val="auto"/>
              </w:rPr>
            </w:pPr>
          </w:p>
        </w:tc>
        <w:tc>
          <w:tcPr>
            <w:tcW w:w="400" w:type="dxa"/>
            <w:vAlign w:val="bottom"/>
            <w:shd w:val="clear" w:color="auto" w:fill="DDDDDD"/>
          </w:tcPr>
          <w:p>
            <w:pPr>
              <w:spacing w:after="0"/>
              <w:rPr>
                <w:sz w:val="13"/>
                <w:szCs w:val="13"/>
                <w:color w:val="auto"/>
              </w:rPr>
            </w:pPr>
          </w:p>
        </w:tc>
        <w:tc>
          <w:tcPr>
            <w:tcW w:w="840" w:type="dxa"/>
            <w:vAlign w:val="bottom"/>
            <w:shd w:val="clear" w:color="auto" w:fill="DDDDDD"/>
          </w:tcPr>
          <w:p>
            <w:pPr>
              <w:jc w:val="right"/>
              <w:ind w:right="8"/>
              <w:spacing w:after="0" w:line="157" w:lineRule="exact"/>
              <w:rPr>
                <w:sz w:val="20"/>
                <w:szCs w:val="20"/>
                <w:color w:val="auto"/>
              </w:rPr>
            </w:pPr>
            <w:r>
              <w:rPr>
                <w:rFonts w:ascii="Arial" w:cs="Arial" w:eastAsia="Arial" w:hAnsi="Arial"/>
                <w:sz w:val="14"/>
                <w:szCs w:val="14"/>
                <w:color w:val="auto"/>
              </w:rPr>
              <w:t>76</w:t>
            </w:r>
          </w:p>
        </w:tc>
        <w:tc>
          <w:tcPr>
            <w:tcW w:w="14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900" w:type="dxa"/>
            <w:vAlign w:val="bottom"/>
            <w:shd w:val="clear" w:color="auto" w:fill="DDDDDD"/>
          </w:tcPr>
          <w:p>
            <w:pPr>
              <w:jc w:val="right"/>
              <w:ind w:right="8"/>
              <w:spacing w:after="0" w:line="157" w:lineRule="exact"/>
              <w:rPr>
                <w:sz w:val="20"/>
                <w:szCs w:val="20"/>
                <w:color w:val="auto"/>
              </w:rPr>
            </w:pPr>
            <w:r>
              <w:rPr>
                <w:rFonts w:ascii="Arial" w:cs="Arial" w:eastAsia="Arial" w:hAnsi="Arial"/>
                <w:sz w:val="14"/>
                <w:szCs w:val="14"/>
                <w:color w:val="auto"/>
              </w:rPr>
              <w:t>131</w:t>
            </w:r>
          </w:p>
        </w:tc>
        <w:tc>
          <w:tcPr>
            <w:tcW w:w="14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80" w:type="dxa"/>
            <w:vAlign w:val="bottom"/>
            <w:shd w:val="clear" w:color="auto" w:fill="DDDDDD"/>
          </w:tcPr>
          <w:p>
            <w:pPr>
              <w:jc w:val="right"/>
              <w:ind w:right="8"/>
              <w:spacing w:after="0" w:line="157" w:lineRule="exact"/>
              <w:rPr>
                <w:sz w:val="20"/>
                <w:szCs w:val="20"/>
                <w:color w:val="auto"/>
              </w:rPr>
            </w:pPr>
            <w:r>
              <w:rPr>
                <w:rFonts w:ascii="Arial" w:cs="Arial" w:eastAsia="Arial" w:hAnsi="Arial"/>
                <w:sz w:val="14"/>
                <w:szCs w:val="14"/>
                <w:color w:val="auto"/>
              </w:rPr>
              <w:t>72</w:t>
            </w:r>
          </w:p>
        </w:tc>
        <w:tc>
          <w:tcPr>
            <w:tcW w:w="14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780" w:type="dxa"/>
            <w:vAlign w:val="bottom"/>
            <w:shd w:val="clear" w:color="auto" w:fill="DDDDDD"/>
          </w:tcPr>
          <w:p>
            <w:pPr>
              <w:jc w:val="right"/>
              <w:ind w:right="8"/>
              <w:spacing w:after="0" w:line="157" w:lineRule="exact"/>
              <w:rPr>
                <w:sz w:val="20"/>
                <w:szCs w:val="20"/>
                <w:color w:val="auto"/>
              </w:rPr>
            </w:pPr>
            <w:r>
              <w:rPr>
                <w:rFonts w:ascii="Arial" w:cs="Arial" w:eastAsia="Arial" w:hAnsi="Arial"/>
                <w:sz w:val="14"/>
                <w:szCs w:val="14"/>
                <w:color w:val="auto"/>
              </w:rPr>
              <w:t>721</w:t>
            </w:r>
          </w:p>
        </w:tc>
        <w:tc>
          <w:tcPr>
            <w:tcW w:w="6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320" w:type="dxa"/>
            <w:vAlign w:val="bottom"/>
          </w:tcPr>
          <w:p>
            <w:pPr>
              <w:ind w:left="220"/>
              <w:spacing w:after="0"/>
              <w:rPr>
                <w:sz w:val="20"/>
                <w:szCs w:val="20"/>
                <w:color w:val="auto"/>
              </w:rPr>
            </w:pPr>
            <w:r>
              <w:rPr>
                <w:rFonts w:ascii="Arial" w:cs="Arial" w:eastAsia="Arial" w:hAnsi="Arial"/>
                <w:sz w:val="14"/>
                <w:szCs w:val="14"/>
                <w:color w:val="auto"/>
              </w:rPr>
              <w:t>Vesting of early-exercised stock options, net</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Udemy,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description of business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Udemy, Inc. (“Udemy” or the “Company”) was incorporated in January 2010 under the laws of the state of Delaware.</w:t>
      </w:r>
    </w:p>
    <w:p>
      <w:pPr>
        <w:spacing w:after="0" w:line="21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Udemy is a global marketplace platform for teaching and learning, connecting millions of learners to the skills they need to succeed. The Company’s platform allows learners all over the world to access affordable and relevant content from expert instructors. Udemy combines high-quality content, insights and analytics, and technology into a single, unified platform that is purpose-built to meet the specific needs of both individual learners and enterprise customers.</w:t>
      </w:r>
    </w:p>
    <w:p>
      <w:pPr>
        <w:spacing w:after="0" w:line="205" w:lineRule="exact"/>
        <w:rPr>
          <w:sz w:val="20"/>
          <w:szCs w:val="20"/>
          <w:color w:val="auto"/>
        </w:rPr>
      </w:pPr>
    </w:p>
    <w:p>
      <w:pPr>
        <w:ind w:left="120" w:right="640"/>
        <w:spacing w:after="0" w:line="246" w:lineRule="auto"/>
        <w:rPr>
          <w:sz w:val="20"/>
          <w:szCs w:val="20"/>
          <w:color w:val="auto"/>
        </w:rPr>
      </w:pPr>
      <w:r>
        <w:rPr>
          <w:rFonts w:ascii="Arial" w:cs="Arial" w:eastAsia="Arial" w:hAnsi="Arial"/>
          <w:sz w:val="18"/>
          <w:szCs w:val="18"/>
          <w:color w:val="auto"/>
        </w:rPr>
        <w:t>The Company is headquartered in San Francisco, California, and maintains offices in Mountain View, California; Denver, Colorado; Ankara, Turkey; and Dublin, Ireland.</w:t>
      </w:r>
    </w:p>
    <w:p>
      <w:pPr>
        <w:spacing w:after="0" w:line="175"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b w:val="1"/>
          <w:bCs w:val="1"/>
          <w:i w:val="1"/>
          <w:iCs w:val="1"/>
          <w:color w:val="auto"/>
        </w:rPr>
        <w:t>Risks and Uncertainties</w:t>
      </w:r>
      <w:r>
        <w:rPr>
          <w:rFonts w:ascii="Arial" w:cs="Arial" w:eastAsia="Arial" w:hAnsi="Arial"/>
          <w:sz w:val="18"/>
          <w:szCs w:val="18"/>
          <w:color w:val="auto"/>
        </w:rPr>
        <w:t>—As of December 31, 2019 and 2020, the Company had cumulative stockholder’s deficit of $225.6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$260.7 million, respectively, and negative net working capital of $99.5 million and $26.8 million, respectively. As of June 30, 2021 (unaudited), the cumulative stockholders’ deficit and negative net working capital balances were $266.8 million and $40.1 million, respectively. The negative net working capital balances as of December 31, 2019 and 2020, and June 30, 2021 (unaudited), included deferred revenue totaling $87.7 million, $ 142.4 million, and $164.0 million respectively, derived from both the Company’s Consumer and Enterprise customers (as defined in Note 2 under the Revenue Recognition heading). During the years ended December 31, 2019 and 2020, the Company incurred net losses of $69.7 million and $ 77.6 million, respectively, and had cash used in operations of $16.5 million and cash provided by operations of $9.6 million, respectively. During the six months ended June 30, 2020 and 2021 (unaudited), the Company incurred net losses of $52.5 million and $29.4 million, respectively, and had cash provided by operations of $13.2 million and cash used in operations of $5.5 million, respectively.</w:t>
      </w:r>
    </w:p>
    <w:p>
      <w:pPr>
        <w:spacing w:after="0" w:line="202" w:lineRule="exact"/>
        <w:rPr>
          <w:sz w:val="20"/>
          <w:szCs w:val="20"/>
          <w:color w:val="auto"/>
        </w:rPr>
      </w:pPr>
    </w:p>
    <w:p>
      <w:pPr>
        <w:jc w:val="both"/>
        <w:ind w:left="120" w:right="300"/>
        <w:spacing w:after="0"/>
        <w:rPr>
          <w:sz w:val="20"/>
          <w:szCs w:val="20"/>
          <w:color w:val="auto"/>
        </w:rPr>
      </w:pPr>
      <w:r>
        <w:rPr>
          <w:rFonts w:ascii="Arial" w:cs="Arial" w:eastAsia="Arial" w:hAnsi="Arial"/>
          <w:sz w:val="18"/>
          <w:szCs w:val="18"/>
          <w:color w:val="auto"/>
        </w:rPr>
        <w:t>The Company has incurred operating and net losses since inception. Such losses have primarily resulted from the costs incurred in the development, operation, and marketing of the Company’s products, platform and services. The Company expects to continue to make investments in order to develop and promote new offerings as well as to support existing offerings.</w:t>
      </w:r>
    </w:p>
    <w:p>
      <w:pPr>
        <w:spacing w:after="0" w:line="20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The Company may require future financing to perpetuate its business model. The Company believes it will be able to maintain adequate liquidity to meet the Company’s liquidity needs over the next twelve months from the issuance date of the audit report.</w:t>
      </w:r>
    </w:p>
    <w:p>
      <w:pPr>
        <w:spacing w:after="0" w:line="175"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Coronavirus disease 2019 (“COVID-19”)</w:t>
      </w:r>
      <w:r>
        <w:rPr>
          <w:rFonts w:ascii="Arial" w:cs="Arial" w:eastAsia="Arial" w:hAnsi="Arial"/>
          <w:sz w:val="18"/>
          <w:szCs w:val="18"/>
          <w:color w:val="auto"/>
        </w:rPr>
        <w:t>—In March 2020, the World Health Organization declared the outbreak of the coronavirus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named COVID-19 a pandemic. The COVID-19 pandemic has created and may continue to create significant uncertainty in global financial markets. This uncertainty may positively or adversely impact certain aspects of the business, including but not limited to customer demand and spending, the ability to raise capital, impairment of assets, and cash collections. As of December 31, 2020, and through the date of issuance of the financial statements, management is not aware of any significant, adverse conditions or circumstances pertaining to COVID-19 that would require updating or revising the Company’s estimates, judgments or carrying value of assets or liabilities. While the Company has not experienced a material negative impact to its business, results of operations, financial position, and liquidity, the future duration, impact, and disruption of the COVID-19 outbreak to the Company’s operations is uncertain.</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10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Basis of Consolidation and Presentation</w:t>
      </w:r>
      <w:r>
        <w:rPr>
          <w:rFonts w:ascii="Arial" w:cs="Arial" w:eastAsia="Arial" w:hAnsi="Arial"/>
          <w:sz w:val="18"/>
          <w:szCs w:val="18"/>
          <w:color w:val="auto"/>
        </w:rPr>
        <w:t>—The accompanying consolidated financial statements have been prepared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accounting principles generally accepted in the United States of America (“GAAP”). The consolidated financial statements include the accounts of the Company and its wholly owned subsidiaries. All intercompany transactions and balances have been eliminated in consolidation.</w:t>
      </w:r>
    </w:p>
    <w:p>
      <w:pPr>
        <w:spacing w:after="0" w:line="174"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Segment Information</w:t>
      </w:r>
      <w:r>
        <w:rPr>
          <w:rFonts w:ascii="Arial" w:cs="Arial" w:eastAsia="Arial" w:hAnsi="Arial"/>
          <w:sz w:val="18"/>
          <w:szCs w:val="18"/>
          <w:color w:val="auto"/>
        </w:rPr>
        <w:t>—The Company defines its segments as those operations the chief operating decision maker (“CODM”),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to be the Chief Executive Officer of the Company, regularly reviews to allocate resources and assess performance. For the years ended December 31, 2019 and 2020, and the six months ended June 30, 2021 (unaudited), the Company operated under two operating and reportable segments: Consumer and Enterprise.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Company’s segment reporting, see Note 15 “Segment and Geographic Information.”</w:t>
      </w:r>
    </w:p>
    <w:p>
      <w:pPr>
        <w:spacing w:after="0" w:line="185"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consolidated financial statements in conformity with GAAP requires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 liabilities and disclosure of contingent assets and liabilities at the dates of the consolidated financial statements and the results of operations during the reporting periods.</w:t>
      </w:r>
    </w:p>
    <w:p>
      <w:pPr>
        <w:spacing w:after="0" w:line="191"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Significant estimates and assumptions reflected in the consolidated financial statements include, but are not limited to, allowance for doubtful accounts, useful lives of property and equipment, capitalization of internally developed software and associated useful lives, valuation of stock option grants, determination of the income tax valuation allowance and the potential outcome of uncertain tax positions, estimated instructor withholding tax obligations, estimated period of consumption for Consumer learners’ single course purchases, fair value of the Company’s common stock and convertible preferred stock, and the period of benefit for deferred commissions. Management periodically evaluates such estimates and assumptions for continued reasonableness.</w:t>
      </w:r>
    </w:p>
    <w:p>
      <w:pPr>
        <w:spacing w:after="0" w:line="205"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Actual results may ultimately differ from management’s estimates and such differences could be material to the financial position and results of operations.</w:t>
      </w:r>
    </w:p>
    <w:p>
      <w:pPr>
        <w:spacing w:after="0" w:line="17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b w:val="1"/>
          <w:bCs w:val="1"/>
          <w:i w:val="1"/>
          <w:iCs w:val="1"/>
          <w:color w:val="auto"/>
        </w:rPr>
        <w:t>Unaudited Interim Consolidated Financial Information</w:t>
      </w:r>
      <w:r>
        <w:rPr>
          <w:rFonts w:ascii="Arial" w:cs="Arial" w:eastAsia="Arial" w:hAnsi="Arial"/>
          <w:sz w:val="18"/>
          <w:szCs w:val="18"/>
          <w:color w:val="auto"/>
        </w:rPr>
        <w:t>—The accompanying interim consolidated balance sheet as of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statements of operations, comprehensive loss, redeemable convertible preferred stock and stockholders’ deficit, and cash flows for the six months ended June 30, 2020 and 2021, and the related footnote disclosures are unaudited. These unaudited interim consolidated financial statements have been prepared in accordance with GAAP. In management’s opinion, the unaudited interim consolidated financial statements include all adjustments necessary to state fairly the Company’s financial position as of June 30, 2021 and its results of operations and cash flows for the six months ended June 30, 2020 and 2021. The financial data and the other information disclosed in these notes to the consolidated financial statements related to these six-month periods are unaudited. The results for the six months ended June 30, 2021 are not necessarily indicative of the results expected for the full year ending December 31, 2021 or any future period.</w:t>
      </w:r>
    </w:p>
    <w:p>
      <w:pPr>
        <w:spacing w:after="0" w:line="18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—On January 1, 2019, the Company adopted ASC Topic 606,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modified retrospective method. The Company’s two sources of revenues are its Consumer and Enterprise business channels.</w:t>
      </w:r>
    </w:p>
    <w:p>
      <w:pPr>
        <w:spacing w:after="0" w:line="50" w:lineRule="exact"/>
        <w:rPr>
          <w:sz w:val="20"/>
          <w:szCs w:val="20"/>
          <w:color w:val="auto"/>
        </w:rPr>
      </w:pPr>
    </w:p>
    <w:p>
      <w:pPr>
        <w:ind w:left="560" w:right="360"/>
        <w:spacing w:after="0" w:line="245" w:lineRule="auto"/>
        <w:rPr>
          <w:sz w:val="20"/>
          <w:szCs w:val="20"/>
          <w:color w:val="auto"/>
        </w:rPr>
      </w:pPr>
      <w:r>
        <w:rPr>
          <w:rFonts w:ascii="Arial" w:cs="Arial" w:eastAsia="Arial" w:hAnsi="Arial"/>
          <w:sz w:val="18"/>
          <w:szCs w:val="18"/>
          <w:i w:val="1"/>
          <w:iCs w:val="1"/>
          <w:color w:val="auto"/>
        </w:rPr>
        <w:t xml:space="preserve">Consumer revenues: </w:t>
      </w:r>
      <w:r>
        <w:rPr>
          <w:rFonts w:ascii="Arial" w:cs="Arial" w:eastAsia="Arial" w:hAnsi="Arial"/>
          <w:sz w:val="18"/>
          <w:szCs w:val="18"/>
          <w:color w:val="auto"/>
        </w:rPr>
        <w:t>The Company generates revenue by selling access to course content on the Udemy platform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learners. Consumer revenues consist of (i) single course purchases and (ii) Consumer subscriptions. All contracts with Consumer customers are billed in advance and require payment by the customer prior to accessing any course content, or in the case for new Consumer subscription customers, upon expiration of the 7-day free trial.</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260"/>
        <w:spacing w:after="0"/>
        <w:rPr>
          <w:sz w:val="20"/>
          <w:szCs w:val="20"/>
          <w:color w:val="auto"/>
        </w:rPr>
      </w:pPr>
      <w:r>
        <w:rPr>
          <w:rFonts w:ascii="Arial" w:cs="Arial" w:eastAsia="Arial" w:hAnsi="Arial"/>
          <w:sz w:val="18"/>
          <w:szCs w:val="18"/>
          <w:color w:val="auto"/>
        </w:rPr>
        <w:t>After checkout, Consumer customers purchasing a single course receive a lifetime access license to the digital course content in addition to stand-ready access to the Udemy platform online services needed to access the content. Consumer subscription plans offer on-demand access to a library of courses over a subscription term, as well as additional features and functionalities.</w:t>
      </w:r>
    </w:p>
    <w:p>
      <w:pPr>
        <w:spacing w:after="0" w:line="95" w:lineRule="exact"/>
        <w:rPr>
          <w:sz w:val="20"/>
          <w:szCs w:val="20"/>
          <w:color w:val="auto"/>
        </w:rPr>
      </w:pPr>
    </w:p>
    <w:p>
      <w:pPr>
        <w:ind w:left="560" w:right="160"/>
        <w:spacing w:after="0" w:line="238" w:lineRule="auto"/>
        <w:rPr>
          <w:sz w:val="20"/>
          <w:szCs w:val="20"/>
          <w:color w:val="auto"/>
        </w:rPr>
      </w:pPr>
      <w:r>
        <w:rPr>
          <w:rFonts w:ascii="Arial" w:cs="Arial" w:eastAsia="Arial" w:hAnsi="Arial"/>
          <w:sz w:val="18"/>
          <w:szCs w:val="18"/>
          <w:color w:val="auto"/>
        </w:rPr>
        <w:t>Consumer revenue transactions are governed by Udemy’s standard terms of use. The time between a customer’s payment and the receipt of funds is not significant. Payment terms are generally fixed and do not include variable consideration. Consumer revenues are recorded net of actual and estimated refunds and exclude any taxes that are collected from learners and remitted to governmental authorities. Consumer revenue arrangements do not include significant obligations associated with warranties.</w:t>
      </w:r>
    </w:p>
    <w:p>
      <w:pPr>
        <w:spacing w:after="0" w:line="97" w:lineRule="exact"/>
        <w:rPr>
          <w:sz w:val="20"/>
          <w:szCs w:val="20"/>
          <w:color w:val="auto"/>
        </w:rPr>
      </w:pPr>
    </w:p>
    <w:p>
      <w:pPr>
        <w:ind w:left="560" w:right="20"/>
        <w:spacing w:after="0" w:line="236" w:lineRule="auto"/>
        <w:rPr>
          <w:sz w:val="20"/>
          <w:szCs w:val="20"/>
          <w:color w:val="auto"/>
        </w:rPr>
      </w:pPr>
      <w:r>
        <w:rPr>
          <w:rFonts w:ascii="Arial" w:cs="Arial" w:eastAsia="Arial" w:hAnsi="Arial"/>
          <w:sz w:val="18"/>
          <w:szCs w:val="18"/>
          <w:color w:val="auto"/>
        </w:rPr>
        <w:t>Consumer subscriptions are typically one-month in duration and paid in advance, with new customers able to sign up for a 7 -day free trial period. Subscribers have continuous access to enroll in and consume an unlimited number of curated courses included in the subscription catalogue on the platform during the subscription term. Subscribers retain access to the courses in which they enroll for the duration of their subscriptions (including any renewal period), even if the instructor subsequently elects to remove the course from the Company’s subscription programs. The continual access to the platform represents a series of distinct services, as the Company continually provides access to, and fulfills its obligation to, the customer over the contract term. Consumer subscriptions automatically renew at the end of each month. Customers may cancel renewal of their subscription at any point but will retain their access to the platform until the end of the current subscription term. Revenues recognized from Consumer subscriptions was not material for each of the years ended December 31, 2019 and 2020, as well as the six months ended June 30, 2020 and 2021 (unaudited).</w:t>
      </w:r>
    </w:p>
    <w:p>
      <w:pPr>
        <w:spacing w:after="0" w:line="80" w:lineRule="exact"/>
        <w:rPr>
          <w:sz w:val="20"/>
          <w:szCs w:val="20"/>
          <w:color w:val="auto"/>
        </w:rPr>
      </w:pPr>
    </w:p>
    <w:p>
      <w:pPr>
        <w:ind w:left="560" w:right="360"/>
        <w:spacing w:after="0" w:line="267" w:lineRule="auto"/>
        <w:rPr>
          <w:sz w:val="20"/>
          <w:szCs w:val="20"/>
          <w:color w:val="auto"/>
        </w:rPr>
      </w:pPr>
      <w:r>
        <w:rPr>
          <w:rFonts w:ascii="Arial" w:cs="Arial" w:eastAsia="Arial" w:hAnsi="Arial"/>
          <w:sz w:val="18"/>
          <w:szCs w:val="18"/>
          <w:i w:val="1"/>
          <w:iCs w:val="1"/>
          <w:color w:val="auto"/>
        </w:rPr>
        <w:t xml:space="preserve">Enterprise revenues: </w:t>
      </w:r>
      <w:r>
        <w:rPr>
          <w:rFonts w:ascii="Arial" w:cs="Arial" w:eastAsia="Arial" w:hAnsi="Arial"/>
          <w:sz w:val="18"/>
          <w:szCs w:val="18"/>
          <w:color w:val="auto"/>
        </w:rPr>
        <w:t>The Company generates revenue by selling subscription licenses to a variety of enterprise and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70" w:lineRule="exact"/>
        <w:rPr>
          <w:sz w:val="20"/>
          <w:szCs w:val="20"/>
          <w:color w:val="auto"/>
        </w:rPr>
      </w:pPr>
    </w:p>
    <w:p>
      <w:pPr>
        <w:ind w:left="560" w:right="140"/>
        <w:spacing w:after="0" w:line="237" w:lineRule="auto"/>
        <w:rPr>
          <w:sz w:val="20"/>
          <w:szCs w:val="20"/>
          <w:color w:val="auto"/>
        </w:rPr>
      </w:pPr>
      <w:r>
        <w:rPr>
          <w:rFonts w:ascii="Arial" w:cs="Arial" w:eastAsia="Arial" w:hAnsi="Arial"/>
          <w:sz w:val="18"/>
          <w:szCs w:val="18"/>
          <w:color w:val="auto"/>
        </w:rPr>
        <w:t>The Company’s subscription contracts with Enterprise customers generally have annual or multi-year contractual terms and consist of a fixed quantity of seat licenses, which allows each seat to access an unlimited number of course enrollments during the contract term. Subscribers retain access to the courses in which they enroll for the duration of their subscriptions (including any renewal period), even if the instructor subsequently elects to remove the course from the Company’s subscription programs. Enterprise contracts are typically evidenced by a fully executed Master Services Agreement and, with an accompanying executed Order Form specifying the contractual subscription term and pricing. Revenue is recognized ratably over the respective contractual subscription term beginning on the date that the platform is made available to the customer.</w:t>
      </w:r>
    </w:p>
    <w:p>
      <w:pPr>
        <w:spacing w:after="0" w:line="95" w:lineRule="exact"/>
        <w:rPr>
          <w:sz w:val="20"/>
          <w:szCs w:val="20"/>
          <w:color w:val="auto"/>
        </w:rPr>
      </w:pPr>
    </w:p>
    <w:p>
      <w:pPr>
        <w:ind w:left="560" w:right="220"/>
        <w:spacing w:after="0" w:line="238" w:lineRule="auto"/>
        <w:rPr>
          <w:sz w:val="20"/>
          <w:szCs w:val="20"/>
          <w:color w:val="auto"/>
        </w:rPr>
      </w:pPr>
      <w:r>
        <w:rPr>
          <w:rFonts w:ascii="Arial" w:cs="Arial" w:eastAsia="Arial" w:hAnsi="Arial"/>
          <w:sz w:val="18"/>
          <w:szCs w:val="18"/>
          <w:color w:val="auto"/>
        </w:rPr>
        <w:t>Standard subscription agreements have auto-renewal clauses, which allow the agreement to continue after the expiration of the initial term. The Company’s standard billing terms are to invoice upfront annually for contracts with terms of one year or longer. For contracts that are less than one year, the Company generally bills in advance on a quarterly or semi-annual basis. The Company recognizes unbilled receivables that relate to consideration for services completed but not billed as of period end. The unbilled receivables are recorded in accounts receivable, net, and are not material for any period presented.</w:t>
      </w:r>
    </w:p>
    <w:p>
      <w:pPr>
        <w:spacing w:after="0" w:line="202" w:lineRule="exact"/>
        <w:rPr>
          <w:sz w:val="20"/>
          <w:szCs w:val="20"/>
          <w:color w:val="auto"/>
        </w:rPr>
      </w:pPr>
    </w:p>
    <w:p>
      <w:pPr>
        <w:ind w:left="120" w:right="680"/>
        <w:spacing w:after="0"/>
        <w:rPr>
          <w:sz w:val="20"/>
          <w:szCs w:val="20"/>
          <w:color w:val="auto"/>
        </w:rPr>
      </w:pPr>
      <w:r>
        <w:rPr>
          <w:rFonts w:ascii="Arial" w:cs="Arial" w:eastAsia="Arial" w:hAnsi="Arial"/>
          <w:sz w:val="18"/>
          <w:szCs w:val="18"/>
          <w:color w:val="auto"/>
        </w:rPr>
        <w:t>Revenue from contracts with customers is recognized when control of promised services is transferred. The amount of revenue recognized reflects the consideration the Company expects to be entitled to receive in exchange for these services. The Company accounts for revenue contracts with customers using the five-step model under ASC Topic 606:</w:t>
      </w:r>
    </w:p>
    <w:p>
      <w:pPr>
        <w:spacing w:after="0" w:line="108" w:lineRule="exact"/>
        <w:rPr>
          <w:sz w:val="20"/>
          <w:szCs w:val="20"/>
          <w:color w:val="auto"/>
        </w:rPr>
      </w:pPr>
    </w:p>
    <w:p>
      <w:pPr>
        <w:ind w:left="980" w:hanging="432"/>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Identify the contract with a customer</w:t>
      </w:r>
    </w:p>
    <w:p>
      <w:pPr>
        <w:spacing w:after="0" w:line="103" w:lineRule="exact"/>
        <w:rPr>
          <w:rFonts w:ascii="Arial" w:cs="Arial" w:eastAsia="Arial" w:hAnsi="Arial"/>
          <w:sz w:val="18"/>
          <w:szCs w:val="18"/>
          <w:color w:val="auto"/>
        </w:rPr>
      </w:pPr>
    </w:p>
    <w:p>
      <w:pPr>
        <w:ind w:left="1000" w:right="40"/>
        <w:spacing w:after="0" w:line="234" w:lineRule="auto"/>
        <w:rPr>
          <w:rFonts w:ascii="Arial" w:cs="Arial" w:eastAsia="Arial" w:hAnsi="Arial"/>
          <w:sz w:val="18"/>
          <w:szCs w:val="18"/>
          <w:color w:val="auto"/>
        </w:rPr>
      </w:pPr>
      <w:r>
        <w:rPr>
          <w:rFonts w:ascii="Arial" w:cs="Arial" w:eastAsia="Arial" w:hAnsi="Arial"/>
          <w:sz w:val="18"/>
          <w:szCs w:val="18"/>
          <w:color w:val="auto"/>
        </w:rPr>
        <w:t>Udemy determines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the Company evaluates whether two or more contracts should be combined and</w:t>
      </w:r>
    </w:p>
    <w:p>
      <w:pPr>
        <w:spacing w:after="0" w:line="2"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accounted for as a single contract and whether the combined or single contract includes more than one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20"/>
        <w:spacing w:after="0" w:line="257" w:lineRule="auto"/>
        <w:rPr>
          <w:sz w:val="20"/>
          <w:szCs w:val="20"/>
          <w:color w:val="auto"/>
        </w:rPr>
      </w:pPr>
      <w:r>
        <w:rPr>
          <w:rFonts w:ascii="Arial" w:cs="Arial" w:eastAsia="Arial" w:hAnsi="Arial"/>
          <w:sz w:val="17"/>
          <w:szCs w:val="17"/>
          <w:color w:val="auto"/>
        </w:rPr>
        <w:t>performance obligation. The Company applies judgment in determining the customer’s ability and intent to pay, which is based on a variety of factors, including the customer’s historical payment experience if available. Consumer customers are generally required to pay in advance using a credit card. Generally, Enterprise customers are billed upfront annually for contracts with terms of one year or longer or in advance quarterly or semi-annually for contracts with terms of less than one year.</w:t>
      </w:r>
    </w:p>
    <w:p>
      <w:pPr>
        <w:spacing w:after="0" w:line="94" w:lineRule="exact"/>
        <w:rPr>
          <w:sz w:val="20"/>
          <w:szCs w:val="20"/>
          <w:color w:val="auto"/>
        </w:rPr>
      </w:pPr>
    </w:p>
    <w:p>
      <w:pPr>
        <w:ind w:left="980" w:hanging="432"/>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Identify the performance obligations in the contract</w:t>
      </w:r>
    </w:p>
    <w:p>
      <w:pPr>
        <w:spacing w:after="0" w:line="103" w:lineRule="exact"/>
        <w:rPr>
          <w:rFonts w:ascii="Arial" w:cs="Arial" w:eastAsia="Arial" w:hAnsi="Arial"/>
          <w:sz w:val="18"/>
          <w:szCs w:val="18"/>
          <w:color w:val="auto"/>
        </w:rPr>
      </w:pPr>
    </w:p>
    <w:p>
      <w:pPr>
        <w:ind w:left="1000" w:right="100"/>
        <w:spacing w:after="0" w:line="237" w:lineRule="auto"/>
        <w:rPr>
          <w:rFonts w:ascii="Arial" w:cs="Arial" w:eastAsia="Arial" w:hAnsi="Arial"/>
          <w:sz w:val="18"/>
          <w:szCs w:val="18"/>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Udemy, and are distinct in the context of the contract, whereby the transfer of the services and the products is separately identifiable from other promises in the contract. Customers do not have the ability to take possession of the software supporting the Udemy platform and, as a result, contracts are accounted for as service arrangements.</w:t>
      </w:r>
    </w:p>
    <w:p>
      <w:pPr>
        <w:spacing w:after="0" w:line="96" w:lineRule="exact"/>
        <w:rPr>
          <w:rFonts w:ascii="Arial" w:cs="Arial" w:eastAsia="Arial" w:hAnsi="Arial"/>
          <w:sz w:val="18"/>
          <w:szCs w:val="18"/>
          <w:color w:val="auto"/>
        </w:rPr>
      </w:pPr>
    </w:p>
    <w:p>
      <w:pPr>
        <w:ind w:left="1000" w:right="20"/>
        <w:spacing w:after="0" w:line="237" w:lineRule="auto"/>
        <w:rPr>
          <w:rFonts w:ascii="Arial" w:cs="Arial" w:eastAsia="Arial" w:hAnsi="Arial"/>
          <w:sz w:val="18"/>
          <w:szCs w:val="18"/>
          <w:color w:val="auto"/>
        </w:rPr>
      </w:pPr>
      <w:r>
        <w:rPr>
          <w:rFonts w:ascii="Arial" w:cs="Arial" w:eastAsia="Arial" w:hAnsi="Arial"/>
          <w:sz w:val="18"/>
          <w:szCs w:val="18"/>
          <w:color w:val="auto"/>
        </w:rPr>
        <w:t>The non-exclusive lifetime access license associated with single course purchases and the licensed content associated with subscriptions are not considered distinct from the Udemy platform, because the course content is significantly integrated, and highly interdependent and interrelated with the platform. Specifically, the learner does not obtain control of the course content’s functionality without the Udemy platform. Accordingly, management concluded there is a single, combined performance obligation, which is customer’s access to the online content on the Udemy platform, representing a series of distinct services as the Company continually provides access to and fulfills its obligation to allow access to licensed content and platform functionality to the learner.</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Determine the transaction price</w:t>
      </w:r>
    </w:p>
    <w:p>
      <w:pPr>
        <w:spacing w:after="0" w:line="103" w:lineRule="exact"/>
        <w:rPr>
          <w:rFonts w:ascii="Arial" w:cs="Arial" w:eastAsia="Arial" w:hAnsi="Arial"/>
          <w:sz w:val="18"/>
          <w:szCs w:val="18"/>
          <w:color w:val="auto"/>
        </w:rPr>
      </w:pPr>
    </w:p>
    <w:p>
      <w:pPr>
        <w:ind w:left="1000" w:right="80"/>
        <w:spacing w:after="0" w:line="237" w:lineRule="auto"/>
        <w:rPr>
          <w:rFonts w:ascii="Arial" w:cs="Arial" w:eastAsia="Arial" w:hAnsi="Arial"/>
          <w:sz w:val="18"/>
          <w:szCs w:val="18"/>
          <w:color w:val="auto"/>
        </w:rPr>
      </w:pPr>
      <w:r>
        <w:rPr>
          <w:rFonts w:ascii="Arial" w:cs="Arial" w:eastAsia="Arial" w:hAnsi="Arial"/>
          <w:sz w:val="18"/>
          <w:szCs w:val="18"/>
          <w:color w:val="auto"/>
        </w:rPr>
        <w:t>The transaction price is determined based on the consideration to which Udemy expects to be entitled in exchange for transferring services to the customer. The prices for Consumer and Enterprises contracts are fixed at contract inception and do not contain significant estimates related to variable consideration. With respect to single course purchases, customers may request a full refund within 30 days after the initial purchase transaction. The Company estimates and establishes a refund reserve based on historical refund rates, which has historically been immaterial. None of the Company’s contracts contain a significant financing component. Revenue is recognized net of any taxes collected from customers, which are subsequently remitted to governmental entities (e.g., sales and other indirect taxes).</w:t>
      </w:r>
    </w:p>
    <w:p>
      <w:pPr>
        <w:spacing w:after="0" w:line="108" w:lineRule="exact"/>
        <w:rPr>
          <w:rFonts w:ascii="Arial" w:cs="Arial" w:eastAsia="Arial" w:hAnsi="Arial"/>
          <w:sz w:val="18"/>
          <w:szCs w:val="18"/>
          <w:color w:val="auto"/>
        </w:rPr>
      </w:pPr>
    </w:p>
    <w:p>
      <w:pPr>
        <w:ind w:left="980" w:hanging="432"/>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Allocate the transaction price to performance obligations in the contract</w:t>
      </w:r>
    </w:p>
    <w:p>
      <w:pPr>
        <w:spacing w:after="0" w:line="103" w:lineRule="exact"/>
        <w:rPr>
          <w:rFonts w:ascii="Arial" w:cs="Arial" w:eastAsia="Arial" w:hAnsi="Arial"/>
          <w:sz w:val="18"/>
          <w:szCs w:val="18"/>
          <w:color w:val="auto"/>
        </w:rPr>
      </w:pPr>
    </w:p>
    <w:p>
      <w:pPr>
        <w:ind w:left="1000" w:right="520"/>
        <w:spacing w:after="0" w:line="246" w:lineRule="auto"/>
        <w:rPr>
          <w:rFonts w:ascii="Arial" w:cs="Arial" w:eastAsia="Arial" w:hAnsi="Arial"/>
          <w:sz w:val="18"/>
          <w:szCs w:val="18"/>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88" w:lineRule="exact"/>
        <w:rPr>
          <w:rFonts w:ascii="Arial" w:cs="Arial" w:eastAsia="Arial" w:hAnsi="Arial"/>
          <w:sz w:val="18"/>
          <w:szCs w:val="18"/>
          <w:color w:val="auto"/>
        </w:rPr>
      </w:pPr>
    </w:p>
    <w:p>
      <w:pPr>
        <w:ind w:left="1000" w:right="80"/>
        <w:spacing w:after="0" w:line="246" w:lineRule="auto"/>
        <w:rPr>
          <w:rFonts w:ascii="Arial" w:cs="Arial" w:eastAsia="Arial" w:hAnsi="Arial"/>
          <w:sz w:val="18"/>
          <w:szCs w:val="18"/>
          <w:color w:val="auto"/>
        </w:rPr>
      </w:pPr>
      <w:r>
        <w:rPr>
          <w:rFonts w:ascii="Arial" w:cs="Arial" w:eastAsia="Arial" w:hAnsi="Arial"/>
          <w:sz w:val="18"/>
          <w:szCs w:val="18"/>
          <w:color w:val="auto"/>
        </w:rPr>
        <w:t>As access to content is not considered distinct from the Udemy platform hosting services, the transaction price is allocated to a single performance obligation</w:t>
      </w:r>
    </w:p>
    <w:p>
      <w:pPr>
        <w:spacing w:after="0" w:line="102" w:lineRule="exact"/>
        <w:rPr>
          <w:rFonts w:ascii="Arial" w:cs="Arial" w:eastAsia="Arial" w:hAnsi="Arial"/>
          <w:sz w:val="18"/>
          <w:szCs w:val="18"/>
          <w:color w:val="auto"/>
        </w:rPr>
      </w:pPr>
    </w:p>
    <w:p>
      <w:pPr>
        <w:ind w:left="980" w:hanging="432"/>
        <w:spacing w:after="0"/>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Recognize revenue when or as performance obligations are satisfied</w:t>
      </w:r>
    </w:p>
    <w:p>
      <w:pPr>
        <w:spacing w:after="0" w:line="103" w:lineRule="exact"/>
        <w:rPr>
          <w:rFonts w:ascii="Arial" w:cs="Arial" w:eastAsia="Arial" w:hAnsi="Arial"/>
          <w:sz w:val="18"/>
          <w:szCs w:val="18"/>
          <w:color w:val="auto"/>
        </w:rPr>
      </w:pPr>
    </w:p>
    <w:p>
      <w:pPr>
        <w:ind w:left="1000" w:right="20"/>
        <w:spacing w:after="0" w:line="237" w:lineRule="auto"/>
        <w:rPr>
          <w:rFonts w:ascii="Arial" w:cs="Arial" w:eastAsia="Arial" w:hAnsi="Arial"/>
          <w:sz w:val="18"/>
          <w:szCs w:val="18"/>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Udemy expects to receive in exchange for those services. Udemy has a stand ready obligation to deliver its services continually throughout the requisite contract period, which is either lifetime access for Consumer customers or the contractual subscription term for Enterprise and Consumer subscription customers. As such, the Company recognizes revenue on a straight-line basis as it satisfies the performance obligation, using an estimated service period for individual Consumer enrollments and the contractual subscription term for Enterprise and Consumer subscription customers.</w:t>
      </w:r>
    </w:p>
    <w:p>
      <w:pPr>
        <w:spacing w:after="0" w:line="94" w:lineRule="exact"/>
        <w:rPr>
          <w:rFonts w:ascii="Arial" w:cs="Arial" w:eastAsia="Arial" w:hAnsi="Arial"/>
          <w:sz w:val="18"/>
          <w:szCs w:val="18"/>
          <w:color w:val="auto"/>
        </w:rPr>
      </w:pPr>
    </w:p>
    <w:p>
      <w:pPr>
        <w:ind w:left="1000" w:right="320"/>
        <w:spacing w:after="0" w:line="246" w:lineRule="auto"/>
        <w:rPr>
          <w:rFonts w:ascii="Arial" w:cs="Arial" w:eastAsia="Arial" w:hAnsi="Arial"/>
          <w:sz w:val="18"/>
          <w:szCs w:val="18"/>
          <w:color w:val="auto"/>
        </w:rPr>
      </w:pPr>
      <w:r>
        <w:rPr>
          <w:rFonts w:ascii="Arial" w:cs="Arial" w:eastAsia="Arial" w:hAnsi="Arial"/>
          <w:sz w:val="18"/>
          <w:szCs w:val="18"/>
          <w:color w:val="auto"/>
        </w:rPr>
        <w:t>Other than the circumstances noted below, no significant judgment has historically been required in determining the amount and timing of revenue from the Company’s contracts with customers.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000" w:right="20"/>
        <w:spacing w:after="0" w:line="247" w:lineRule="auto"/>
        <w:rPr>
          <w:sz w:val="20"/>
          <w:szCs w:val="20"/>
          <w:color w:val="auto"/>
        </w:rPr>
      </w:pPr>
      <w:r>
        <w:rPr>
          <w:rFonts w:ascii="Arial" w:cs="Arial" w:eastAsia="Arial" w:hAnsi="Arial"/>
          <w:sz w:val="18"/>
          <w:szCs w:val="18"/>
          <w:b w:val="1"/>
          <w:bCs w:val="1"/>
          <w:i w:val="1"/>
          <w:iCs w:val="1"/>
          <w:color w:val="auto"/>
        </w:rPr>
        <w:t>Principal vs. Agent</w:t>
      </w:r>
      <w:r>
        <w:rPr>
          <w:rFonts w:ascii="Arial" w:cs="Arial" w:eastAsia="Arial" w:hAnsi="Arial"/>
          <w:sz w:val="18"/>
          <w:szCs w:val="18"/>
          <w:color w:val="auto"/>
        </w:rPr>
        <w:t>—In order to determine if Consumer and Enterprise revenues should be reported gross or net of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third-party instructors, the Company evaluated whether Udemy acts as the principal in sales of its online course offerings. An entity is the principal if it controls a good or service before it is transferred to the end customer. Key indicators that management evaluated in determining gross versus net treatment included but are not limited to:</w:t>
      </w:r>
    </w:p>
    <w:p>
      <w:pPr>
        <w:spacing w:after="0" w:line="101" w:lineRule="exact"/>
        <w:rPr>
          <w:sz w:val="20"/>
          <w:szCs w:val="20"/>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nature of the Company’s promise to the customer, as well as the distinct performance obligation identified.</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parties to the transaction.</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to the end customer.</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party has inventory risk before the specified good or service has been transferred to the end customer.</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104" w:lineRule="exact"/>
        <w:rPr>
          <w:sz w:val="20"/>
          <w:szCs w:val="20"/>
          <w:color w:val="auto"/>
        </w:rPr>
      </w:pPr>
    </w:p>
    <w:p>
      <w:pPr>
        <w:ind w:left="1000" w:right="40"/>
        <w:spacing w:after="0" w:line="236" w:lineRule="auto"/>
        <w:rPr>
          <w:sz w:val="20"/>
          <w:szCs w:val="20"/>
          <w:color w:val="auto"/>
        </w:rPr>
      </w:pPr>
      <w:r>
        <w:rPr>
          <w:rFonts w:ascii="Arial" w:cs="Arial" w:eastAsia="Arial" w:hAnsi="Arial"/>
          <w:sz w:val="18"/>
          <w:szCs w:val="18"/>
          <w:color w:val="auto"/>
        </w:rPr>
        <w:t>Based on an evaluation of the above indicators, management determined that the Company is the principal to learners who purchase access to online course content via Consumer and Enterprise offerings. The Company controls the promised goods or services (i.e., access to course content via the Udemy platform) before it is transferred to the customer and is primarily responsible for fulfillment with respect to delivering access to course content. The Company is the entity which licenses content to learners as the agreements with instructors grant the Company the right to sub-license content to its learners at its discretion. The Company also has substantial discretion to determine the pricing of its offerings. Therefore, the Company reports the gross purchase price paid by the customer related to these arrangements in the revenues caption of the consolidated statements of operations and the payments to instructors as content costs within cost of revenues.</w:t>
      </w:r>
    </w:p>
    <w:p>
      <w:pPr>
        <w:spacing w:after="0" w:line="78" w:lineRule="exact"/>
        <w:rPr>
          <w:sz w:val="20"/>
          <w:szCs w:val="20"/>
          <w:color w:val="auto"/>
        </w:rPr>
      </w:pPr>
    </w:p>
    <w:p>
      <w:pPr>
        <w:ind w:left="1000" w:right="60"/>
        <w:spacing w:after="0" w:line="238" w:lineRule="auto"/>
        <w:rPr>
          <w:sz w:val="20"/>
          <w:szCs w:val="20"/>
          <w:color w:val="auto"/>
        </w:rPr>
      </w:pPr>
      <w:r>
        <w:rPr>
          <w:rFonts w:ascii="Arial" w:cs="Arial" w:eastAsia="Arial" w:hAnsi="Arial"/>
          <w:sz w:val="18"/>
          <w:szCs w:val="18"/>
          <w:b w:val="1"/>
          <w:bCs w:val="1"/>
          <w:i w:val="1"/>
          <w:iCs w:val="1"/>
          <w:color w:val="auto"/>
        </w:rPr>
        <w:t>Estimated service term for Consumer single course purchases</w:t>
      </w:r>
      <w:r>
        <w:rPr>
          <w:rFonts w:ascii="Arial" w:cs="Arial" w:eastAsia="Arial" w:hAnsi="Arial"/>
          <w:sz w:val="18"/>
          <w:szCs w:val="18"/>
          <w:color w:val="auto"/>
        </w:rPr>
        <w:t>—The Company considers a variety of data points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the estimated service period for a Consumer learner’s consumption of an single course purchase, including, the weighted-average number of days between a learner’s first and last day that content is accessed on the platform, the average total hours consumed, the average number of days in which learner activity stabilizes, and the weighted-average number of days between learners’ enrollment and the last date the course content is accessed online. Management also considers known online trends, the service periods of historical course content available on the platform, and to the extent publicly available, service periods of competitors’ online content that is similar in nature to the Company’s. The Company believes consideration of all of these factors enables the Company to determine the best representation of the time period during which Consumer learners access the online course content on the Company’s platform and therefore the service period over which the Company provides services to learners. Determining the estimated service period is subjective and requires management’s judgment. Future usage patterns may differ from historical usage patterns, and the estimated service period may change in the future. The estimated service period for Consumer single course purchase transactions is four months from the date of enrollment.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w:t>
      </w:r>
    </w:p>
    <w:p>
      <w:pPr>
        <w:ind w:left="120"/>
        <w:spacing w:after="0"/>
        <w:rPr>
          <w:sz w:val="20"/>
          <w:szCs w:val="20"/>
          <w:color w:val="auto"/>
        </w:rPr>
      </w:pPr>
      <w:r>
        <w:rPr>
          <w:rFonts w:ascii="Arial" w:cs="Arial" w:eastAsia="Arial" w:hAnsi="Arial"/>
          <w:sz w:val="18"/>
          <w:szCs w:val="18"/>
          <w:color w:val="auto"/>
        </w:rPr>
        <w:t>Deferred revenue primarily relates to the advance consideration allocated to remaining performance obligations received from customers.</w:t>
      </w:r>
    </w:p>
    <w:p>
      <w:pPr>
        <w:spacing w:after="0" w:line="21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price of subscriptions is fixed at contract inception and the Company’s contracts do not contain significant estimates related to variable consideration. As a result, the amount of revenue recognized in the periods presented from performance obligations satisfied (or partially satisfied) in prior periods was not material.</w:t>
      </w:r>
    </w:p>
    <w:p>
      <w:pPr>
        <w:spacing w:after="0" w:line="203" w:lineRule="exact"/>
        <w:rPr>
          <w:sz w:val="20"/>
          <w:szCs w:val="20"/>
          <w:color w:val="auto"/>
        </w:rPr>
      </w:pPr>
    </w:p>
    <w:p>
      <w:pPr>
        <w:ind w:left="120" w:right="860"/>
        <w:spacing w:after="0" w:line="246" w:lineRule="auto"/>
        <w:rPr>
          <w:sz w:val="20"/>
          <w:szCs w:val="20"/>
          <w:color w:val="auto"/>
        </w:rPr>
      </w:pPr>
      <w:r>
        <w:rPr>
          <w:rFonts w:ascii="Arial" w:cs="Arial" w:eastAsia="Arial" w:hAnsi="Arial"/>
          <w:sz w:val="18"/>
          <w:szCs w:val="18"/>
          <w:color w:val="auto"/>
        </w:rPr>
        <w:t>In connection with the adoption of ASC 606, the Company recorded an increase in total assets of $6.7 million and a reduction of accumulated deficit of $6.7 million as of January 1, 2019, which is attributed to deferred contract costs.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w:t>
      </w:r>
    </w:p>
    <w:p>
      <w:pPr>
        <w:spacing w:after="0" w:line="175"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i w:val="1"/>
          <w:iCs w:val="1"/>
          <w:color w:val="auto"/>
        </w:rPr>
        <w:t>Cost of Revenues</w:t>
      </w:r>
      <w:r>
        <w:rPr>
          <w:rFonts w:ascii="Arial" w:cs="Arial" w:eastAsia="Arial" w:hAnsi="Arial"/>
          <w:sz w:val="18"/>
          <w:szCs w:val="18"/>
          <w:color w:val="auto"/>
        </w:rPr>
        <w:t>—Costs of revenues are related to content costs (which are payments to instructors), payment and mobile processing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costs associated with the hosting of digital content, and employee related expenses for the customer support organization, including salaries, benefits, stock-based compensation, facilities and other expenses, depreciation of network equipment, and amortization of capitalized software.</w:t>
      </w:r>
    </w:p>
    <w:p>
      <w:pPr>
        <w:spacing w:after="0" w:line="17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—Advertising costs are expensed as incurred. Advertising expense is recorded in sales and marketing expenses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and were $72.6 million and $110.5 million for the years ended December 31, 2019 and 2020, respectively. Advertising expenses for the six months ended June 30, 2020 and 2021 (unaudited), were $56.6 million and $49.6 million, respectively.</w:t>
      </w:r>
    </w:p>
    <w:p>
      <w:pPr>
        <w:spacing w:after="0" w:line="174" w:lineRule="exact"/>
        <w:rPr>
          <w:sz w:val="20"/>
          <w:szCs w:val="20"/>
          <w:color w:val="auto"/>
        </w:rPr>
      </w:pPr>
    </w:p>
    <w:p>
      <w:pPr>
        <w:jc w:val="both"/>
        <w:ind w:left="120" w:right="620"/>
        <w:spacing w:after="0" w:line="253"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—Research and development costs are expensed as incurred. Research and development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salaries, benefits, stock-based compensation, facilities, office costs, contracted services, supplies, and other miscellaneous expenses.</w:t>
      </w:r>
    </w:p>
    <w:p>
      <w:pPr>
        <w:spacing w:after="0" w:line="16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—The Company accounts for its stock-based compensation pursuant to Accounting Standards Codification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based on estimated fair values for all stock awards. The Company uses the Black-Scholes pricing model to determine the grant date fair value of stock options. For awards with service-based vesting conditions, the Company recognizes the resulting stock-based compensation on a straight-line basis over the requisite service period of the awards, which is typically a vesting term of four years. Compensation cost for awards that are subject to performance conditions are attributed separately for each vesting tranche of the award. The Company accounts for forfeitures as they occur rather than estimating the number of awards that are expected to ultimately vest. The Black-Scholes option-pricing model requires the use of subjective and complex assumptions, which determine the fair value of share-based awards, including the option’s expected term and the price volatility of the underlying stock.</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calculates the fair value of options granted by using the Black-Scholes option-pricing model with the following assumptions:</w:t>
      </w:r>
    </w:p>
    <w:p>
      <w:pPr>
        <w:spacing w:after="0" w:line="86" w:lineRule="exact"/>
        <w:rPr>
          <w:sz w:val="20"/>
          <w:szCs w:val="20"/>
          <w:color w:val="auto"/>
        </w:rPr>
      </w:pPr>
    </w:p>
    <w:p>
      <w:pPr>
        <w:ind w:left="560" w:right="40"/>
        <w:spacing w:after="0" w:line="24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Company’s options represents the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has elected to use the midpoint of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73" w:lineRule="exact"/>
        <w:rPr>
          <w:sz w:val="20"/>
          <w:szCs w:val="20"/>
          <w:color w:val="auto"/>
        </w:rPr>
      </w:pPr>
    </w:p>
    <w:p>
      <w:pPr>
        <w:ind w:left="560" w:right="72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U.S. Treasury notes with maturities approximately equal to the option’s expected term.</w:t>
      </w:r>
    </w:p>
    <w:p>
      <w:pPr>
        <w:spacing w:after="0" w:line="52" w:lineRule="exact"/>
        <w:rPr>
          <w:sz w:val="20"/>
          <w:szCs w:val="20"/>
          <w:color w:val="auto"/>
        </w:rPr>
      </w:pPr>
    </w:p>
    <w:p>
      <w:pPr>
        <w:jc w:val="both"/>
        <w:ind w:left="560" w:right="260"/>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a trading history of its common stock, the Company estimated volatility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by evaluating the average historical volatility of a peer group of companies for the period immediately preceding the option grant for a term that is approximately equal to the options’ expected term.</w:t>
      </w:r>
    </w:p>
    <w:p>
      <w:pPr>
        <w:spacing w:after="0" w:line="69" w:lineRule="exact"/>
        <w:rPr>
          <w:sz w:val="20"/>
          <w:szCs w:val="20"/>
          <w:color w:val="auto"/>
        </w:rPr>
      </w:pPr>
    </w:p>
    <w:p>
      <w:pPr>
        <w:ind w:left="560" w:right="20"/>
        <w:spacing w:after="0" w:line="26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expected dividend was assumed to be zero as the Company has never paid dividends and has no current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do so.</w:t>
      </w:r>
    </w:p>
    <w:p>
      <w:pPr>
        <w:spacing w:after="0" w:line="17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Company records compensation expense related to stock options issued to nonemployees, including consultants based on the fair value of the stock options calculated using the Black-Scholes option-pricing model on the grant date over the service performance period as the equity instruments vest. Prior to adoption of the Financial and Accounting Standards Board (“FASB”) Accounting Standards Update (“ASU”) No. 2018-07 as of</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January 1, 2020, at each reporting date, the Company revalued the fair value and expense related to the unvested portion of such nonemployee awards. As a result, the fair value of the portion of unvested options granted to nonemployees was remeasured each reporting period over the options’ remaining vesting term and recognized as an expense over the remaining period the services are rendered. Upon adoption of ASU No. 2018-07, the unsettled portions of nonemployee awards shall be remeasured to fair value as of the adoption date and recognized as expense over the period the services are rendered, but no further remeasurement at each reporting period thereafter is required.</w:t>
      </w:r>
    </w:p>
    <w:p>
      <w:pPr>
        <w:spacing w:after="0" w:line="20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The Company also grants cash-settled stock appreciation rights (“SARs”) to certain employees. Because the SARs are settled in cash upon the exercise of the SARs, the Company accounts for the SARs in the other liabilities caption in the accompanying consolidated balance sheets. Vested and outstanding SARs are subject to remeasurement at each balance sheet date using the Black-Scholes option-pricing model and the assumptions described above, and any change in fair value is recognized as a component of operating expenses. The Company adjusts the liability fair value for vested and outstanding SARs until the earlier of the exercise or expiration of the SARs.</w:t>
      </w:r>
    </w:p>
    <w:p>
      <w:pPr>
        <w:spacing w:after="0" w:line="168"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—The Company accounts for income taxes in accordance with ASC 740,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740”), which requires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and liability approach in accounting for income taxes. Under this method, the tax provision includes taxes currently due plus the net change in deferred tax assets and liabilities.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 received, as provided for under currently enacted tax law. A valuation allowance is provided for the amount of deferred tax assets that, based on available evidence, is not expected to be realized.</w:t>
      </w:r>
    </w:p>
    <w:p>
      <w:pPr>
        <w:spacing w:after="0" w:line="207" w:lineRule="exact"/>
        <w:rPr>
          <w:sz w:val="20"/>
          <w:szCs w:val="20"/>
          <w:color w:val="auto"/>
        </w:rPr>
      </w:pPr>
    </w:p>
    <w:p>
      <w:pPr>
        <w:ind w:left="120" w:right="260"/>
        <w:spacing w:after="0" w:line="252" w:lineRule="auto"/>
        <w:rPr>
          <w:sz w:val="20"/>
          <w:szCs w:val="20"/>
          <w:color w:val="auto"/>
        </w:rPr>
      </w:pPr>
      <w:r>
        <w:rPr>
          <w:rFonts w:ascii="Arial" w:cs="Arial" w:eastAsia="Arial" w:hAnsi="Arial"/>
          <w:sz w:val="17"/>
          <w:szCs w:val="17"/>
          <w:color w:val="auto"/>
        </w:rPr>
        <w:t>ASC 740 prescribes a recognition threshold and measurement attributes for financial statement disclosure of tax positions taken or expected to be taken on a tax return. Under this guidance,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The Company recognizes interest accrued related to unrecognized tax benefits and penalties as a component of the provision for income taxes. There was no accrued interest or penalties associated with any unrecognized tax benefits, nor was any interest expense recognized during the years ended December 31, 2019 and 2020, and during the six months ended June 30, 2020 and 2021 (unaudited). The Company does not currently anticipate that any significant increase or decrease to unrecognized tax benefits will be recorded during the next twelve months.</w:t>
      </w:r>
    </w:p>
    <w:p>
      <w:pPr>
        <w:spacing w:after="0" w:line="17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Translation of Foreign Currency</w:t>
      </w:r>
      <w:r>
        <w:rPr>
          <w:rFonts w:ascii="Arial" w:cs="Arial" w:eastAsia="Arial" w:hAnsi="Arial"/>
          <w:sz w:val="18"/>
          <w:szCs w:val="18"/>
          <w:color w:val="auto"/>
        </w:rPr>
        <w:t>—The functional currency of the Company’s foreign subsidiaries is the U.S. dollar. Accordingly,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subsidiary remeasures monetary assets and liabilities at period-end exchange rates, while nonmonetary items are remeasured at historical rates. Revenue and expense accounts are remeasured at the average exchange rate prevailing during the year. Remeasurement adjustments are recognized in the consolidated statements of operations as transaction gains or losses in the period of occurrence as other income (expense).</w:t>
      </w:r>
    </w:p>
    <w:p>
      <w:pPr>
        <w:spacing w:after="0" w:line="17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b w:val="1"/>
          <w:bCs w:val="1"/>
          <w:i w:val="1"/>
          <w:iCs w:val="1"/>
          <w:color w:val="auto"/>
        </w:rPr>
        <w:t>Net Loss Per Share Attributable to Common Stockholders</w:t>
      </w:r>
      <w:r>
        <w:rPr>
          <w:rFonts w:ascii="Arial" w:cs="Arial" w:eastAsia="Arial" w:hAnsi="Arial"/>
          <w:sz w:val="18"/>
          <w:szCs w:val="18"/>
          <w:color w:val="auto"/>
        </w:rPr>
        <w:t>—Basic and diluted net loss per share attributable to common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computed in conformity with the two-class method required for participating securities. The Company considers all series of its redeemable convertible preferred stock to be participating securities as the holders of such stock have the right to receive nonforfeitable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stock equivalents to the extent they are dilutive. For purposes of this calculation, redeemable convertible preferred stock, common stock options, early exercised common stock options subject to repurchase, and redeemable convertible preferred stock warrants are considered to be common stock equivalents but have been excluded from the calculation of diluted net loss per share attributable to common stockholders as their effect is anti-dilutive for the periods presented.</w:t>
      </w:r>
    </w:p>
    <w:p>
      <w:pPr>
        <w:spacing w:after="0" w:line="18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loss consists of two components, net loss and other comprehensive loss, net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comprehensive loss, net of tax, refers to revenue, expenses, gains, and losses that under GAAP are recorded as an element of stockholders’ deficit but are excluded from net loss. The Company’s other comprehensive income for the year ended December 31, 2019 consisted of changes in unrealized holding gains on available-for-sale securities. The Company recorded no other comprehensive income or loss for the year ended December 31, 2020. The Company recorded no other comprehensive income or loss for the six months ended June 30, 2020 and 2021 (unaudited).</w:t>
      </w:r>
    </w:p>
    <w:p>
      <w:pPr>
        <w:spacing w:after="0" w:line="179"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—As of December 31, 2019 and 2020, and June 30, 2021 (unaudited), cash and cash equivalents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demand deposits and money market funds with banks which have remaining maturities at the date of purchase of less than</w:t>
      </w:r>
    </w:p>
    <w:p>
      <w:pPr>
        <w:spacing w:after="0" w:line="1" w:lineRule="exact"/>
        <w:rPr>
          <w:sz w:val="20"/>
          <w:szCs w:val="20"/>
          <w:color w:val="auto"/>
        </w:rPr>
      </w:pPr>
    </w:p>
    <w:p>
      <w:pPr>
        <w:ind w:left="120" w:right="480"/>
        <w:spacing w:after="0" w:line="274" w:lineRule="auto"/>
        <w:rPr>
          <w:sz w:val="20"/>
          <w:szCs w:val="20"/>
          <w:color w:val="auto"/>
        </w:rPr>
      </w:pPr>
      <w:r>
        <w:rPr>
          <w:rFonts w:ascii="Arial" w:cs="Arial" w:eastAsia="Arial" w:hAnsi="Arial"/>
          <w:sz w:val="17"/>
          <w:szCs w:val="17"/>
          <w:color w:val="auto"/>
        </w:rPr>
        <w:t>ninety days. Cash equivalents also include amounts in transit from certain payment processors for credit and debit card transactions, which typically settle within five business days. Cash and cash equivalents are carried at cost, which approximates fair value.</w:t>
      </w:r>
    </w:p>
    <w:p>
      <w:pPr>
        <w:spacing w:after="0" w:line="153"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primarily consists of cash restricted in connection with lease agreements for the Company’s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cash is included in current assets for leases that expire within one year from the balance sheet date and in non-current assets for leases that expire in more than one year from the balance sheet date.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820" w:type="dxa"/>
            <w:vAlign w:val="bottom"/>
          </w:tcPr>
          <w:p>
            <w:pPr>
              <w:spacing w:after="0"/>
              <w:rPr>
                <w:sz w:val="15"/>
                <w:szCs w:val="15"/>
                <w:color w:val="auto"/>
              </w:rPr>
            </w:pPr>
          </w:p>
        </w:tc>
        <w:tc>
          <w:tcPr>
            <w:tcW w:w="16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6260" w:type="dxa"/>
            <w:vAlign w:val="bottom"/>
            <w:tcBorders>
              <w:bottom w:val="single" w:sz="8" w:color="DDDDDD"/>
            </w:tcBorders>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DDDDDD"/>
            </w:tcBorders>
          </w:tcPr>
          <w:p>
            <w:pPr>
              <w:spacing w:after="0"/>
              <w:rPr>
                <w:sz w:val="13"/>
                <w:szCs w:val="13"/>
                <w:color w:val="auto"/>
              </w:rPr>
            </w:pPr>
          </w:p>
        </w:tc>
        <w:tc>
          <w:tcPr>
            <w:tcW w:w="120" w:type="dxa"/>
            <w:vAlign w:val="bottom"/>
            <w:tcBorders>
              <w:top w:val="single" w:sz="8" w:color="auto"/>
              <w:bottom w:val="single" w:sz="8" w:color="DDDDDD"/>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540" w:type="dxa"/>
            <w:vAlign w:val="bottom"/>
            <w:tcBorders>
              <w:bottom w:val="single" w:sz="8" w:color="DDDDDD"/>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DDDDD"/>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6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88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54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020" w:type="dxa"/>
            <w:vAlign w:val="bottom"/>
            <w:gridSpan w:val="2"/>
            <w:shd w:val="clear" w:color="auto" w:fill="DDDDDD"/>
          </w:tcPr>
          <w:p>
            <w:pPr>
              <w:ind w:left="120"/>
              <w:spacing w:after="0" w:line="155" w:lineRule="exact"/>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49,139</w:t>
            </w:r>
          </w:p>
        </w:tc>
        <w:tc>
          <w:tcPr>
            <w:tcW w:w="10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175,031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163,198</w:t>
            </w:r>
          </w:p>
        </w:tc>
        <w:tc>
          <w:tcPr>
            <w:tcW w:w="0" w:type="dxa"/>
            <w:vAlign w:val="bottom"/>
          </w:tcPr>
          <w:p>
            <w:pPr>
              <w:spacing w:after="0"/>
              <w:rPr>
                <w:sz w:val="1"/>
                <w:szCs w:val="1"/>
                <w:color w:val="auto"/>
              </w:rPr>
            </w:pPr>
          </w:p>
        </w:tc>
      </w:tr>
      <w:tr>
        <w:trPr>
          <w:trHeight w:val="162"/>
        </w:trPr>
        <w:tc>
          <w:tcPr>
            <w:tcW w:w="6260" w:type="dxa"/>
            <w:vAlign w:val="bottom"/>
            <w:shd w:val="clear" w:color="auto" w:fill="DDDDDD"/>
          </w:tcPr>
          <w:p>
            <w:pPr>
              <w:spacing w:after="0"/>
              <w:rPr>
                <w:sz w:val="20"/>
                <w:szCs w:val="20"/>
                <w:color w:val="auto"/>
              </w:rPr>
            </w:pPr>
            <w:r>
              <w:rPr>
                <w:rFonts w:ascii="Arial" w:cs="Arial" w:eastAsia="Arial" w:hAnsi="Arial"/>
                <w:sz w:val="14"/>
                <w:szCs w:val="14"/>
                <w:color w:val="auto"/>
              </w:rPr>
              <w:t>Restricted cash, current</w:t>
            </w:r>
          </w:p>
        </w:tc>
        <w:tc>
          <w:tcPr>
            <w:tcW w:w="820" w:type="dxa"/>
            <w:vAlign w:val="bottom"/>
            <w:shd w:val="clear" w:color="auto" w:fill="DDDDDD"/>
          </w:tcPr>
          <w:p>
            <w:pPr>
              <w:spacing w:after="0"/>
              <w:rPr>
                <w:sz w:val="14"/>
                <w:szCs w:val="14"/>
                <w:color w:val="auto"/>
              </w:rPr>
            </w:pPr>
          </w:p>
        </w:tc>
        <w:tc>
          <w:tcPr>
            <w:tcW w:w="6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DDDDDD"/>
          </w:tcPr>
          <w:p>
            <w:pPr>
              <w:spacing w:after="0"/>
              <w:rPr>
                <w:sz w:val="14"/>
                <w:szCs w:val="14"/>
                <w:color w:val="auto"/>
              </w:rPr>
            </w:pPr>
          </w:p>
        </w:tc>
        <w:tc>
          <w:tcPr>
            <w:tcW w:w="880" w:type="dxa"/>
            <w:vAlign w:val="bottom"/>
            <w:shd w:val="clear" w:color="auto" w:fill="DDDDDD"/>
          </w:tcPr>
          <w:p>
            <w:pPr>
              <w:spacing w:after="0"/>
              <w:rPr>
                <w:sz w:val="14"/>
                <w:szCs w:val="14"/>
                <w:color w:val="auto"/>
              </w:rPr>
            </w:pPr>
          </w:p>
        </w:tc>
        <w:tc>
          <w:tcPr>
            <w:tcW w:w="1080" w:type="dxa"/>
            <w:vAlign w:val="bottom"/>
            <w:gridSpan w:val="2"/>
            <w:shd w:val="clear" w:color="auto" w:fill="DDDDDD"/>
          </w:tcPr>
          <w:p>
            <w:pPr>
              <w:jc w:val="right"/>
              <w:ind w:right="5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DDDD"/>
          </w:tcPr>
          <w:p>
            <w:pPr>
              <w:spacing w:after="0"/>
              <w:rPr>
                <w:sz w:val="14"/>
                <w:szCs w:val="14"/>
                <w:color w:val="auto"/>
              </w:rPr>
            </w:pPr>
          </w:p>
        </w:tc>
        <w:tc>
          <w:tcPr>
            <w:tcW w:w="10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Restricted cash, non-current</w:t>
            </w:r>
          </w:p>
        </w:tc>
        <w:tc>
          <w:tcPr>
            <w:tcW w:w="8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2,900</w:t>
            </w:r>
          </w:p>
        </w:tc>
        <w:tc>
          <w:tcPr>
            <w:tcW w:w="2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shd w:val="clear" w:color="auto" w:fill="DDDDDD"/>
          </w:tcPr>
          <w:p>
            <w:pPr>
              <w:spacing w:after="0"/>
              <w:rPr>
                <w:sz w:val="20"/>
                <w:szCs w:val="20"/>
                <w:color w:val="auto"/>
              </w:rPr>
            </w:pPr>
            <w:r>
              <w:rPr>
                <w:rFonts w:ascii="Arial" w:cs="Arial" w:eastAsia="Arial" w:hAnsi="Arial"/>
                <w:sz w:val="14"/>
                <w:szCs w:val="14"/>
                <w:color w:val="auto"/>
              </w:rPr>
              <w:t>Total cash, cash equivalents, and restricted cash</w:t>
            </w:r>
          </w:p>
        </w:tc>
        <w:tc>
          <w:tcPr>
            <w:tcW w:w="820" w:type="dxa"/>
            <w:vAlign w:val="bottom"/>
            <w:shd w:val="clear" w:color="auto" w:fill="DDDDDD"/>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51,751</w:t>
            </w:r>
          </w:p>
        </w:tc>
        <w:tc>
          <w:tcPr>
            <w:tcW w:w="1000" w:type="dxa"/>
            <w:vAlign w:val="bottom"/>
            <w:gridSpan w:val="2"/>
            <w:shd w:val="clear" w:color="auto" w:fill="DDDDDD"/>
          </w:tcPr>
          <w:p>
            <w:pPr>
              <w:jc w:val="right"/>
              <w:ind w:right="7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DDDDD"/>
          </w:tcPr>
          <w:p>
            <w:pPr>
              <w:jc w:val="right"/>
              <w:ind w:right="540"/>
              <w:spacing w:after="0"/>
              <w:rPr>
                <w:sz w:val="20"/>
                <w:szCs w:val="20"/>
                <w:color w:val="auto"/>
              </w:rPr>
            </w:pPr>
            <w:r>
              <w:rPr>
                <w:rFonts w:ascii="Arial" w:cs="Arial" w:eastAsia="Arial" w:hAnsi="Arial"/>
                <w:sz w:val="14"/>
                <w:szCs w:val="14"/>
                <w:color w:val="auto"/>
              </w:rPr>
              <w:t>177,931</w:t>
            </w:r>
          </w:p>
        </w:tc>
        <w:tc>
          <w:tcPr>
            <w:tcW w:w="20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166,098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comprise of asset-backed securities, U.S. treasury securities,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and commercial paper.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of sales and maturities of the Company’s previously outstanding investment portfolio during the year ended December 31, 2019, there are no marketable securities within the consolidated balance sheets as of December 31, 2019 and 2020, and as of June 30, 2021 (unaudited).</w:t>
      </w:r>
    </w:p>
    <w:p>
      <w:pPr>
        <w:spacing w:after="0" w:line="185"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i w:val="1"/>
          <w:iCs w:val="1"/>
          <w:color w:val="auto"/>
        </w:rPr>
        <w:t>Accounts Receivable and Allowance for Doubtful Accounts</w:t>
      </w:r>
      <w:r>
        <w:rPr>
          <w:rFonts w:ascii="Arial" w:cs="Arial" w:eastAsia="Arial" w:hAnsi="Arial"/>
          <w:sz w:val="18"/>
          <w:szCs w:val="18"/>
          <w:color w:val="auto"/>
        </w:rPr>
        <w:t>—Accounts receivable represent amounts owed to the Company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subscriptions. Also included in accounts receivable are amounts due from payment processors or mobile application store partners that settle over a period longer than five business days. Accounts receivable balances are recorded at the invoiced amount and are non-interest-bearing.</w:t>
      </w:r>
    </w:p>
    <w:p>
      <w:pPr>
        <w:spacing w:after="0" w:line="196"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Accounts receivable are presented net of allowances for doubtful accounts. Management assesses the Company’s ability to collect outstanding receivables and records allowances when collection becomes doubtful. The provision for bad debt is recorded in general and administrative expenses in the accompanying consolidated</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statements of operations. These estimates are based on the assessment of the credit worthiness of the Company’s customers based on multiple sources of information and analysis of such factors as the Company’s historical collection experience and industry and geographic concentrations of credit risk. Accounts receivable deemed to be uncollectible are written off, net of any amounts that may be collected.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Balance at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9"/>
              </w:rPr>
              <w:t>Charges</w:t>
            </w: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Balance at</w:t>
            </w:r>
          </w:p>
        </w:tc>
      </w:tr>
      <w:tr>
        <w:trPr>
          <w:trHeight w:val="135"/>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beginning</w:t>
            </w:r>
          </w:p>
        </w:tc>
        <w:tc>
          <w:tcPr>
            <w:tcW w:w="220" w:type="dxa"/>
            <w:vAlign w:val="bottom"/>
          </w:tcPr>
          <w:p>
            <w:pPr>
              <w:spacing w:after="0"/>
              <w:rPr>
                <w:sz w:val="11"/>
                <w:szCs w:val="11"/>
                <w:color w:val="auto"/>
              </w:rPr>
            </w:pP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w w:val="93"/>
              </w:rPr>
              <w:t>Charged to</w:t>
            </w:r>
          </w:p>
        </w:tc>
        <w:tc>
          <w:tcPr>
            <w:tcW w:w="220" w:type="dxa"/>
            <w:vAlign w:val="bottom"/>
          </w:tcPr>
          <w:p>
            <w:pPr>
              <w:spacing w:after="0"/>
              <w:rPr>
                <w:sz w:val="11"/>
                <w:szCs w:val="11"/>
                <w:color w:val="auto"/>
              </w:rPr>
            </w:pPr>
          </w:p>
        </w:tc>
        <w:tc>
          <w:tcPr>
            <w:tcW w:w="104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99"/>
              </w:rPr>
              <w:t>utilized /</w:t>
            </w:r>
          </w:p>
        </w:tc>
        <w:tc>
          <w:tcPr>
            <w:tcW w:w="100" w:type="dxa"/>
            <w:vAlign w:val="bottom"/>
          </w:tcPr>
          <w:p>
            <w:pPr>
              <w:spacing w:after="0"/>
              <w:rPr>
                <w:sz w:val="11"/>
                <w:szCs w:val="11"/>
                <w:color w:val="auto"/>
              </w:rPr>
            </w:pPr>
          </w:p>
        </w:tc>
        <w:tc>
          <w:tcPr>
            <w:tcW w:w="5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end of</w:t>
            </w:r>
          </w:p>
        </w:tc>
      </w:tr>
      <w:tr>
        <w:trPr>
          <w:trHeight w:val="157"/>
        </w:trPr>
        <w:tc>
          <w:tcPr>
            <w:tcW w:w="6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of period</w:t>
            </w:r>
          </w:p>
        </w:tc>
        <w:tc>
          <w:tcPr>
            <w:tcW w:w="22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expenses</w:t>
            </w:r>
          </w:p>
        </w:tc>
        <w:tc>
          <w:tcPr>
            <w:tcW w:w="220" w:type="dxa"/>
            <w:vAlign w:val="bottom"/>
          </w:tcPr>
          <w:p>
            <w:pPr>
              <w:spacing w:after="0"/>
              <w:rPr>
                <w:sz w:val="13"/>
                <w:szCs w:val="13"/>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5"/>
              </w:rPr>
              <w:t>write-offs</w:t>
            </w:r>
          </w:p>
        </w:tc>
        <w:tc>
          <w:tcPr>
            <w:tcW w:w="10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w:t>
            </w:r>
          </w:p>
        </w:tc>
      </w:tr>
      <w:tr>
        <w:trPr>
          <w:trHeight w:val="169"/>
        </w:trPr>
        <w:tc>
          <w:tcPr>
            <w:tcW w:w="674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3"/>
                <w:szCs w:val="13"/>
                <w:b w:val="1"/>
                <w:bCs w:val="1"/>
                <w:color w:val="auto"/>
              </w:rPr>
              <w:t>Allowance for doubtful accounts</w:t>
            </w:r>
          </w:p>
        </w:tc>
        <w:tc>
          <w:tcPr>
            <w:tcW w:w="380" w:type="dxa"/>
            <w:vAlign w:val="bottom"/>
            <w:tcBorders>
              <w:top w:val="single" w:sz="8" w:color="DDDDDD"/>
            </w:tcBorders>
            <w:shd w:val="clear" w:color="auto" w:fill="DDDDDD"/>
          </w:tcPr>
          <w:p>
            <w:pPr>
              <w:spacing w:after="0"/>
              <w:rPr>
                <w:sz w:val="14"/>
                <w:szCs w:val="14"/>
                <w:color w:val="auto"/>
              </w:rPr>
            </w:pPr>
          </w:p>
        </w:tc>
        <w:tc>
          <w:tcPr>
            <w:tcW w:w="240" w:type="dxa"/>
            <w:vAlign w:val="bottom"/>
            <w:tcBorders>
              <w:top w:val="single" w:sz="8" w:color="auto"/>
            </w:tcBorders>
            <w:shd w:val="clear" w:color="auto" w:fill="DDDDDD"/>
          </w:tcPr>
          <w:p>
            <w:pPr>
              <w:spacing w:after="0"/>
              <w:rPr>
                <w:sz w:val="14"/>
                <w:szCs w:val="14"/>
                <w:color w:val="auto"/>
              </w:rPr>
            </w:pPr>
          </w:p>
        </w:tc>
        <w:tc>
          <w:tcPr>
            <w:tcW w:w="400" w:type="dxa"/>
            <w:vAlign w:val="bottom"/>
            <w:tcBorders>
              <w:top w:val="single" w:sz="8" w:color="auto"/>
            </w:tcBorders>
            <w:shd w:val="clear" w:color="auto" w:fill="DDDDDD"/>
          </w:tcPr>
          <w:p>
            <w:pPr>
              <w:spacing w:after="0"/>
              <w:rPr>
                <w:sz w:val="14"/>
                <w:szCs w:val="14"/>
                <w:color w:val="auto"/>
              </w:rPr>
            </w:pPr>
          </w:p>
        </w:tc>
        <w:tc>
          <w:tcPr>
            <w:tcW w:w="22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DDDDDD"/>
            </w:tcBorders>
            <w:shd w:val="clear" w:color="auto" w:fill="DDDDDD"/>
          </w:tcPr>
          <w:p>
            <w:pPr>
              <w:spacing w:after="0"/>
              <w:rPr>
                <w:sz w:val="14"/>
                <w:szCs w:val="14"/>
                <w:color w:val="auto"/>
              </w:rPr>
            </w:pPr>
          </w:p>
        </w:tc>
        <w:tc>
          <w:tcPr>
            <w:tcW w:w="240" w:type="dxa"/>
            <w:vAlign w:val="bottom"/>
            <w:tcBorders>
              <w:top w:val="single" w:sz="8" w:color="auto"/>
            </w:tcBorders>
            <w:shd w:val="clear" w:color="auto" w:fill="DDDDDD"/>
          </w:tcPr>
          <w:p>
            <w:pPr>
              <w:spacing w:after="0"/>
              <w:rPr>
                <w:sz w:val="14"/>
                <w:szCs w:val="14"/>
                <w:color w:val="auto"/>
              </w:rPr>
            </w:pPr>
          </w:p>
        </w:tc>
        <w:tc>
          <w:tcPr>
            <w:tcW w:w="420" w:type="dxa"/>
            <w:vAlign w:val="bottom"/>
            <w:tcBorders>
              <w:top w:val="single" w:sz="8" w:color="auto"/>
            </w:tcBorders>
            <w:shd w:val="clear" w:color="auto" w:fill="DDDDDD"/>
          </w:tcPr>
          <w:p>
            <w:pPr>
              <w:spacing w:after="0"/>
              <w:rPr>
                <w:sz w:val="14"/>
                <w:szCs w:val="14"/>
                <w:color w:val="auto"/>
              </w:rPr>
            </w:pPr>
          </w:p>
        </w:tc>
        <w:tc>
          <w:tcPr>
            <w:tcW w:w="22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DDDDDD"/>
            </w:tcBorders>
            <w:shd w:val="clear" w:color="auto" w:fill="DDDDDD"/>
          </w:tcPr>
          <w:p>
            <w:pPr>
              <w:spacing w:after="0"/>
              <w:rPr>
                <w:sz w:val="14"/>
                <w:szCs w:val="14"/>
                <w:color w:val="auto"/>
              </w:rPr>
            </w:pPr>
          </w:p>
        </w:tc>
        <w:tc>
          <w:tcPr>
            <w:tcW w:w="180" w:type="dxa"/>
            <w:vAlign w:val="bottom"/>
            <w:tcBorders>
              <w:top w:val="single" w:sz="8" w:color="auto"/>
            </w:tcBorders>
            <w:shd w:val="clear" w:color="auto" w:fill="DDDDDD"/>
          </w:tcPr>
          <w:p>
            <w:pPr>
              <w:spacing w:after="0"/>
              <w:rPr>
                <w:sz w:val="14"/>
                <w:szCs w:val="14"/>
                <w:color w:val="auto"/>
              </w:rPr>
            </w:pPr>
          </w:p>
        </w:tc>
        <w:tc>
          <w:tcPr>
            <w:tcW w:w="380" w:type="dxa"/>
            <w:vAlign w:val="bottom"/>
            <w:tcBorders>
              <w:top w:val="single" w:sz="8" w:color="auto"/>
            </w:tcBorders>
            <w:shd w:val="clear" w:color="auto" w:fill="DDDDDD"/>
          </w:tcPr>
          <w:p>
            <w:pPr>
              <w:spacing w:after="0"/>
              <w:rPr>
                <w:sz w:val="14"/>
                <w:szCs w:val="14"/>
                <w:color w:val="auto"/>
              </w:rPr>
            </w:pPr>
          </w:p>
        </w:tc>
        <w:tc>
          <w:tcPr>
            <w:tcW w:w="480" w:type="dxa"/>
            <w:vAlign w:val="bottom"/>
            <w:tcBorders>
              <w:top w:val="single" w:sz="8" w:color="DDDDDD"/>
            </w:tcBorders>
            <w:shd w:val="clear" w:color="auto" w:fill="DDDDDD"/>
          </w:tcPr>
          <w:p>
            <w:pPr>
              <w:spacing w:after="0"/>
              <w:rPr>
                <w:sz w:val="14"/>
                <w:szCs w:val="14"/>
                <w:color w:val="auto"/>
              </w:rPr>
            </w:pPr>
          </w:p>
        </w:tc>
        <w:tc>
          <w:tcPr>
            <w:tcW w:w="100" w:type="dxa"/>
            <w:vAlign w:val="bottom"/>
            <w:tcBorders>
              <w:top w:val="single" w:sz="8" w:color="auto"/>
            </w:tcBorders>
            <w:shd w:val="clear" w:color="auto" w:fill="DDDDDD"/>
          </w:tcPr>
          <w:p>
            <w:pPr>
              <w:spacing w:after="0"/>
              <w:rPr>
                <w:sz w:val="14"/>
                <w:szCs w:val="14"/>
                <w:color w:val="auto"/>
              </w:rPr>
            </w:pPr>
          </w:p>
        </w:tc>
        <w:tc>
          <w:tcPr>
            <w:tcW w:w="540" w:type="dxa"/>
            <w:vAlign w:val="bottom"/>
            <w:tcBorders>
              <w:top w:val="single" w:sz="8" w:color="auto"/>
            </w:tcBorders>
            <w:shd w:val="clear" w:color="auto" w:fill="DDDDDD"/>
          </w:tcPr>
          <w:p>
            <w:pPr>
              <w:spacing w:after="0"/>
              <w:rPr>
                <w:sz w:val="14"/>
                <w:szCs w:val="14"/>
                <w:color w:val="auto"/>
              </w:rPr>
            </w:pPr>
          </w:p>
        </w:tc>
        <w:tc>
          <w:tcPr>
            <w:tcW w:w="40" w:type="dxa"/>
            <w:vAlign w:val="bottom"/>
            <w:tcBorders>
              <w:top w:val="single" w:sz="8" w:color="DDDDDD"/>
            </w:tcBorders>
            <w:shd w:val="clear" w:color="auto" w:fill="DDDDDD"/>
          </w:tcPr>
          <w:p>
            <w:pPr>
              <w:spacing w:after="0"/>
              <w:rPr>
                <w:sz w:val="14"/>
                <w:szCs w:val="14"/>
                <w:color w:val="auto"/>
              </w:rPr>
            </w:pPr>
          </w:p>
        </w:tc>
      </w:tr>
      <w:tr>
        <w:trPr>
          <w:trHeight w:val="157"/>
        </w:trPr>
        <w:tc>
          <w:tcPr>
            <w:tcW w:w="6740" w:type="dxa"/>
            <w:vAlign w:val="bottom"/>
          </w:tcPr>
          <w:p>
            <w:pPr>
              <w:spacing w:after="0"/>
              <w:rPr>
                <w:sz w:val="20"/>
                <w:szCs w:val="20"/>
                <w:color w:val="auto"/>
              </w:rPr>
            </w:pPr>
            <w:r>
              <w:rPr>
                <w:rFonts w:ascii="Arial" w:cs="Arial" w:eastAsia="Arial" w:hAnsi="Arial"/>
                <w:sz w:val="13"/>
                <w:szCs w:val="13"/>
                <w:color w:val="auto"/>
              </w:rPr>
              <w:t>Year Ended December 31, 2019</w:t>
            </w:r>
          </w:p>
        </w:tc>
        <w:tc>
          <w:tcPr>
            <w:tcW w:w="6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422</w:t>
            </w: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642</w:t>
            </w:r>
          </w:p>
        </w:tc>
        <w:tc>
          <w:tcPr>
            <w:tcW w:w="4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582</w:t>
            </w:r>
          </w:p>
        </w:tc>
      </w:tr>
      <w:tr>
        <w:trPr>
          <w:trHeight w:val="194"/>
        </w:trPr>
        <w:tc>
          <w:tcPr>
            <w:tcW w:w="6740" w:type="dxa"/>
            <w:vAlign w:val="bottom"/>
            <w:shd w:val="clear" w:color="auto" w:fill="DDDDDD"/>
          </w:tcPr>
          <w:p>
            <w:pPr>
              <w:spacing w:after="0"/>
              <w:rPr>
                <w:sz w:val="20"/>
                <w:szCs w:val="20"/>
                <w:color w:val="auto"/>
              </w:rPr>
            </w:pPr>
            <w:r>
              <w:rPr>
                <w:rFonts w:ascii="Arial" w:cs="Arial" w:eastAsia="Arial" w:hAnsi="Arial"/>
                <w:sz w:val="13"/>
                <w:szCs w:val="13"/>
                <w:color w:val="auto"/>
              </w:rPr>
              <w:t>Year Ended December 31, 2020</w:t>
            </w:r>
          </w:p>
        </w:tc>
        <w:tc>
          <w:tcPr>
            <w:tcW w:w="620" w:type="dxa"/>
            <w:vAlign w:val="bottom"/>
            <w:gridSpan w:val="2"/>
            <w:shd w:val="clear" w:color="auto" w:fill="DDDDDD"/>
          </w:tcPr>
          <w:p>
            <w:pPr>
              <w:ind w:lef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DDDDDD"/>
          </w:tcPr>
          <w:p>
            <w:pPr>
              <w:jc w:val="right"/>
              <w:ind w:right="220"/>
              <w:spacing w:after="0"/>
              <w:rPr>
                <w:sz w:val="20"/>
                <w:szCs w:val="20"/>
                <w:color w:val="auto"/>
              </w:rPr>
            </w:pPr>
            <w:r>
              <w:rPr>
                <w:rFonts w:ascii="Arial" w:cs="Arial" w:eastAsia="Arial" w:hAnsi="Arial"/>
                <w:sz w:val="13"/>
                <w:szCs w:val="13"/>
                <w:color w:val="auto"/>
              </w:rPr>
              <w:t>582</w:t>
            </w:r>
          </w:p>
        </w:tc>
        <w:tc>
          <w:tcPr>
            <w:tcW w:w="460" w:type="dxa"/>
            <w:vAlign w:val="bottom"/>
            <w:gridSpan w:val="2"/>
            <w:shd w:val="clear" w:color="auto" w:fill="DDDDDD"/>
          </w:tcPr>
          <w:p>
            <w:pPr>
              <w:ind w:lef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DDDDDD"/>
          </w:tcPr>
          <w:p>
            <w:pPr>
              <w:jc w:val="right"/>
              <w:ind w:right="220"/>
              <w:spacing w:after="0"/>
              <w:rPr>
                <w:sz w:val="20"/>
                <w:szCs w:val="20"/>
                <w:color w:val="auto"/>
              </w:rPr>
            </w:pPr>
            <w:r>
              <w:rPr>
                <w:rFonts w:ascii="Arial" w:cs="Arial" w:eastAsia="Arial" w:hAnsi="Arial"/>
                <w:sz w:val="13"/>
                <w:szCs w:val="13"/>
                <w:color w:val="auto"/>
              </w:rPr>
              <w:t>182</w:t>
            </w:r>
          </w:p>
        </w:tc>
        <w:tc>
          <w:tcPr>
            <w:tcW w:w="400" w:type="dxa"/>
            <w:vAlign w:val="bottom"/>
            <w:gridSpan w:val="2"/>
            <w:shd w:val="clear" w:color="auto" w:fill="DDDDDD"/>
          </w:tcPr>
          <w:p>
            <w:pPr>
              <w:ind w:lef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DDDDDD"/>
          </w:tcPr>
          <w:p>
            <w:pPr>
              <w:jc w:val="right"/>
              <w:ind w:right="440"/>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DDDDDD"/>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DDDDDD"/>
          </w:tcPr>
          <w:p>
            <w:pPr>
              <w:jc w:val="right"/>
              <w:ind w:right="40"/>
              <w:spacing w:after="0"/>
              <w:rPr>
                <w:sz w:val="20"/>
                <w:szCs w:val="20"/>
                <w:color w:val="auto"/>
              </w:rPr>
            </w:pPr>
            <w:r>
              <w:rPr>
                <w:rFonts w:ascii="Arial" w:cs="Arial" w:eastAsia="Arial" w:hAnsi="Arial"/>
                <w:sz w:val="13"/>
                <w:szCs w:val="13"/>
                <w:color w:val="auto"/>
              </w:rPr>
              <w:t>643</w:t>
            </w:r>
          </w:p>
        </w:tc>
      </w:tr>
      <w:tr>
        <w:trPr>
          <w:trHeight w:val="177"/>
        </w:trPr>
        <w:tc>
          <w:tcPr>
            <w:tcW w:w="6740" w:type="dxa"/>
            <w:vAlign w:val="bottom"/>
          </w:tcPr>
          <w:p>
            <w:pPr>
              <w:spacing w:after="0"/>
              <w:rPr>
                <w:sz w:val="20"/>
                <w:szCs w:val="20"/>
                <w:color w:val="auto"/>
              </w:rPr>
            </w:pPr>
            <w:r>
              <w:rPr>
                <w:rFonts w:ascii="Arial" w:cs="Arial" w:eastAsia="Arial" w:hAnsi="Arial"/>
                <w:sz w:val="13"/>
                <w:szCs w:val="13"/>
                <w:color w:val="auto"/>
              </w:rPr>
              <w:t>Six months ended June 30, 2021 (unaudited)</w:t>
            </w: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643</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170</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503</w:t>
            </w:r>
          </w:p>
        </w:tc>
      </w:tr>
    </w:tbl>
    <w:p>
      <w:pPr>
        <w:spacing w:after="0" w:line="178" w:lineRule="exact"/>
        <w:rPr>
          <w:sz w:val="20"/>
          <w:szCs w:val="20"/>
          <w:color w:val="auto"/>
        </w:rPr>
      </w:pPr>
    </w:p>
    <w:p>
      <w:pPr>
        <w:ind w:left="120" w:right="460"/>
        <w:spacing w:after="0" w:line="247"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—Financial instruments that potentially subject the Company to concentrations of credit risk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cash and cash equivalents, restricted cash, and accounts receivable. For cash, cash equivalents, and restricted cash, the Company is exposed to credit risk in the event of default by the financial institutions to the extent the amounts recorded on the accompanying consolidated balance sheets are in excess of federal insurance limits.</w:t>
      </w:r>
    </w:p>
    <w:p>
      <w:pPr>
        <w:spacing w:after="0" w:line="19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Company generally does not require collateral or other security in support of accounts receivable. To reduce credit risk, management performs ongoing evaluations of its customers’ financial condition. The Company analyzes the need for reserves for potential credit losses and records allowances for doubtful accounts when necessary. The Company had no customer which accounted for more than 10% of total accounts receivable as of December 31, 2019 and 2020, and as of June 30, 2021 (unaudited). No customer accounted for more than 10% of total revenue during the years ended December 31, 2019 and 2020, and during the six months ended June 30, 2020 and 2021 (unaudited).</w:t>
      </w:r>
    </w:p>
    <w:p>
      <w:pPr>
        <w:spacing w:after="0" w:line="18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b w:val="1"/>
          <w:bCs w:val="1"/>
          <w:i w:val="1"/>
          <w:iCs w:val="1"/>
          <w:color w:val="auto"/>
        </w:rPr>
        <w:t>Deferred Offering Costs</w:t>
      </w:r>
      <w:r>
        <w:rPr>
          <w:rFonts w:ascii="Arial" w:cs="Arial" w:eastAsia="Arial" w:hAnsi="Arial"/>
          <w:sz w:val="18"/>
          <w:szCs w:val="18"/>
          <w:color w:val="auto"/>
        </w:rPr>
        <w:t>—Deferred offering costs consist of direct and incremental legal, accounting, and other fees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proposed initial public offering (“IPO”). These costs are capitalized in the prepaid expenses and other current assets caption on the consolidated balance sheets. The deferred offering costs will be offset against IPO proceeds upon the consummation of an IPO. In the event the planned IPO is terminated, the deferred offering costs will be expensed. The Company had no deferred offering costs as of December 31, 2019 and 2020. Total deferred offering costs as of June 30, 2021 (unaudited) were $2.2 million.</w:t>
      </w:r>
    </w:p>
    <w:p>
      <w:pPr>
        <w:spacing w:after="0" w:line="176" w:lineRule="exact"/>
        <w:rPr>
          <w:sz w:val="20"/>
          <w:szCs w:val="20"/>
          <w:color w:val="auto"/>
        </w:rPr>
      </w:pPr>
    </w:p>
    <w:p>
      <w:pPr>
        <w:ind w:left="120" w:right="180"/>
        <w:spacing w:after="0"/>
        <w:rPr>
          <w:sz w:val="20"/>
          <w:szCs w:val="20"/>
          <w:color w:val="auto"/>
        </w:rPr>
      </w:pPr>
      <w:r>
        <w:rPr>
          <w:rFonts w:ascii="Arial" w:cs="Arial" w:eastAsia="Arial" w:hAnsi="Arial"/>
          <w:sz w:val="18"/>
          <w:szCs w:val="18"/>
          <w:b w:val="1"/>
          <w:bCs w:val="1"/>
          <w:i w:val="1"/>
          <w:iCs w:val="1"/>
          <w:color w:val="auto"/>
        </w:rPr>
        <w:t>Deferred Contract Costs</w:t>
      </w:r>
      <w:r>
        <w:rPr>
          <w:rFonts w:ascii="Arial" w:cs="Arial" w:eastAsia="Arial" w:hAnsi="Arial"/>
          <w:sz w:val="18"/>
          <w:szCs w:val="18"/>
          <w:color w:val="auto"/>
        </w:rPr>
        <w:t>—Sales commissions earned by the Company’s sales force are considered incremental and recoverable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obtaining a contract with a customer. These costs are deferred and then amortized over a period of benefit which is determined to be four years. The Company determined the period of benefit by taking into consideration the length of terms in its customer contracts, changes and enhancements in course offerings, and other factors. Amounts expected to be recognized within one year of the consolidated balance sheet dates are recorded as deferred contract costs, current, while the remaining portion is recorded as deferred contract costs, non-current in the consolidated balance sheets. Deferred contract costs are periodically analyzed for impairment. Amortization expense is included in sales and marketing expenses in the accompanying consolidated statements of operations.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0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beginning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period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end of period</w:t>
            </w:r>
          </w:p>
        </w:tc>
      </w:tr>
      <w:tr>
        <w:trPr>
          <w:trHeight w:val="142"/>
        </w:trPr>
        <w:tc>
          <w:tcPr>
            <w:tcW w:w="6040" w:type="dxa"/>
            <w:vAlign w:val="bottom"/>
            <w:tcBorders>
              <w:top w:val="single" w:sz="8" w:color="DDDDDD"/>
            </w:tcBorders>
            <w:shd w:val="clear" w:color="auto" w:fill="DDDDDD"/>
          </w:tcPr>
          <w:p>
            <w:pPr>
              <w:spacing w:after="0" w:line="142" w:lineRule="exact"/>
              <w:rPr>
                <w:sz w:val="20"/>
                <w:szCs w:val="20"/>
                <w:color w:val="auto"/>
              </w:rPr>
            </w:pPr>
            <w:r>
              <w:rPr>
                <w:rFonts w:ascii="Arial" w:cs="Arial" w:eastAsia="Arial" w:hAnsi="Arial"/>
                <w:sz w:val="14"/>
                <w:szCs w:val="14"/>
                <w:b w:val="1"/>
                <w:bCs w:val="1"/>
                <w:color w:val="auto"/>
              </w:rPr>
              <w:t>Deferred contract costs</w:t>
            </w:r>
          </w:p>
        </w:tc>
        <w:tc>
          <w:tcPr>
            <w:tcW w:w="160" w:type="dxa"/>
            <w:vAlign w:val="bottom"/>
            <w:tcBorders>
              <w:top w:val="single" w:sz="8" w:color="auto"/>
            </w:tcBorders>
            <w:shd w:val="clear" w:color="auto" w:fill="DDDDDD"/>
          </w:tcPr>
          <w:p>
            <w:pPr>
              <w:spacing w:after="0"/>
              <w:rPr>
                <w:sz w:val="12"/>
                <w:szCs w:val="12"/>
                <w:color w:val="auto"/>
              </w:rPr>
            </w:pPr>
          </w:p>
        </w:tc>
        <w:tc>
          <w:tcPr>
            <w:tcW w:w="700" w:type="dxa"/>
            <w:vAlign w:val="bottom"/>
            <w:tcBorders>
              <w:top w:val="single" w:sz="8" w:color="auto"/>
            </w:tcBorders>
            <w:shd w:val="clear" w:color="auto" w:fill="DDDDDD"/>
          </w:tcPr>
          <w:p>
            <w:pPr>
              <w:spacing w:after="0"/>
              <w:rPr>
                <w:sz w:val="12"/>
                <w:szCs w:val="12"/>
                <w:color w:val="auto"/>
              </w:rPr>
            </w:pPr>
          </w:p>
        </w:tc>
        <w:tc>
          <w:tcPr>
            <w:tcW w:w="520" w:type="dxa"/>
            <w:vAlign w:val="bottom"/>
            <w:tcBorders>
              <w:top w:val="single" w:sz="8" w:color="DDDDDD"/>
            </w:tcBorders>
            <w:shd w:val="clear" w:color="auto" w:fill="DDDDDD"/>
          </w:tcPr>
          <w:p>
            <w:pPr>
              <w:spacing w:after="0"/>
              <w:rPr>
                <w:sz w:val="12"/>
                <w:szCs w:val="12"/>
                <w:color w:val="auto"/>
              </w:rPr>
            </w:pPr>
          </w:p>
        </w:tc>
        <w:tc>
          <w:tcPr>
            <w:tcW w:w="160" w:type="dxa"/>
            <w:vAlign w:val="bottom"/>
            <w:tcBorders>
              <w:top w:val="single" w:sz="8" w:color="auto"/>
            </w:tcBorders>
            <w:shd w:val="clear" w:color="auto" w:fill="DDDDDD"/>
          </w:tcPr>
          <w:p>
            <w:pPr>
              <w:spacing w:after="0"/>
              <w:rPr>
                <w:sz w:val="12"/>
                <w:szCs w:val="12"/>
                <w:color w:val="auto"/>
              </w:rPr>
            </w:pPr>
          </w:p>
        </w:tc>
        <w:tc>
          <w:tcPr>
            <w:tcW w:w="520" w:type="dxa"/>
            <w:vAlign w:val="bottom"/>
            <w:tcBorders>
              <w:top w:val="single" w:sz="8" w:color="auto"/>
            </w:tcBorders>
            <w:shd w:val="clear" w:color="auto" w:fill="DDDDDD"/>
          </w:tcPr>
          <w:p>
            <w:pPr>
              <w:spacing w:after="0"/>
              <w:rPr>
                <w:sz w:val="12"/>
                <w:szCs w:val="12"/>
                <w:color w:val="auto"/>
              </w:rPr>
            </w:pPr>
          </w:p>
        </w:tc>
        <w:tc>
          <w:tcPr>
            <w:tcW w:w="500" w:type="dxa"/>
            <w:vAlign w:val="bottom"/>
            <w:tcBorders>
              <w:top w:val="single" w:sz="8" w:color="DDDDDD"/>
            </w:tcBorders>
            <w:shd w:val="clear" w:color="auto" w:fill="DDDDDD"/>
          </w:tcPr>
          <w:p>
            <w:pPr>
              <w:spacing w:after="0"/>
              <w:rPr>
                <w:sz w:val="12"/>
                <w:szCs w:val="12"/>
                <w:color w:val="auto"/>
              </w:rPr>
            </w:pPr>
          </w:p>
        </w:tc>
        <w:tc>
          <w:tcPr>
            <w:tcW w:w="120" w:type="dxa"/>
            <w:vAlign w:val="bottom"/>
            <w:tcBorders>
              <w:top w:val="single" w:sz="8" w:color="auto"/>
            </w:tcBorders>
            <w:shd w:val="clear" w:color="auto" w:fill="DDDDDD"/>
          </w:tcPr>
          <w:p>
            <w:pPr>
              <w:spacing w:after="0"/>
              <w:rPr>
                <w:sz w:val="12"/>
                <w:szCs w:val="12"/>
                <w:color w:val="auto"/>
              </w:rPr>
            </w:pPr>
          </w:p>
        </w:tc>
        <w:tc>
          <w:tcPr>
            <w:tcW w:w="780" w:type="dxa"/>
            <w:vAlign w:val="bottom"/>
            <w:tcBorders>
              <w:top w:val="single" w:sz="8" w:color="auto"/>
            </w:tcBorders>
            <w:shd w:val="clear" w:color="auto" w:fill="DDDDDD"/>
          </w:tcPr>
          <w:p>
            <w:pPr>
              <w:spacing w:after="0"/>
              <w:rPr>
                <w:sz w:val="12"/>
                <w:szCs w:val="12"/>
                <w:color w:val="auto"/>
              </w:rPr>
            </w:pPr>
          </w:p>
        </w:tc>
        <w:tc>
          <w:tcPr>
            <w:tcW w:w="300" w:type="dxa"/>
            <w:vAlign w:val="bottom"/>
            <w:tcBorders>
              <w:top w:val="single" w:sz="8" w:color="DDDDDD"/>
            </w:tcBorders>
            <w:shd w:val="clear" w:color="auto" w:fill="DDDDDD"/>
          </w:tcPr>
          <w:p>
            <w:pPr>
              <w:spacing w:after="0"/>
              <w:rPr>
                <w:sz w:val="12"/>
                <w:szCs w:val="12"/>
                <w:color w:val="auto"/>
              </w:rPr>
            </w:pPr>
          </w:p>
        </w:tc>
        <w:tc>
          <w:tcPr>
            <w:tcW w:w="260" w:type="dxa"/>
            <w:vAlign w:val="bottom"/>
            <w:tcBorders>
              <w:top w:val="single" w:sz="8" w:color="DDDDDD"/>
            </w:tcBorders>
            <w:shd w:val="clear" w:color="auto" w:fill="DDDDDD"/>
          </w:tcPr>
          <w:p>
            <w:pPr>
              <w:spacing w:after="0"/>
              <w:rPr>
                <w:sz w:val="12"/>
                <w:szCs w:val="12"/>
                <w:color w:val="auto"/>
              </w:rPr>
            </w:pPr>
          </w:p>
        </w:tc>
        <w:tc>
          <w:tcPr>
            <w:tcW w:w="80" w:type="dxa"/>
            <w:vAlign w:val="bottom"/>
            <w:tcBorders>
              <w:top w:val="single" w:sz="8" w:color="auto"/>
            </w:tcBorders>
            <w:shd w:val="clear" w:color="auto" w:fill="DDDDDD"/>
          </w:tcPr>
          <w:p>
            <w:pPr>
              <w:spacing w:after="0"/>
              <w:rPr>
                <w:sz w:val="12"/>
                <w:szCs w:val="12"/>
                <w:color w:val="auto"/>
              </w:rPr>
            </w:pPr>
          </w:p>
        </w:tc>
        <w:tc>
          <w:tcPr>
            <w:tcW w:w="840" w:type="dxa"/>
            <w:vAlign w:val="bottom"/>
            <w:tcBorders>
              <w:top w:val="single" w:sz="8" w:color="auto"/>
            </w:tcBorders>
            <w:shd w:val="clear" w:color="auto" w:fill="DDDDDD"/>
          </w:tcPr>
          <w:p>
            <w:pPr>
              <w:spacing w:after="0"/>
              <w:rPr>
                <w:sz w:val="12"/>
                <w:szCs w:val="12"/>
                <w:color w:val="auto"/>
              </w:rPr>
            </w:pPr>
          </w:p>
        </w:tc>
        <w:tc>
          <w:tcPr>
            <w:tcW w:w="20" w:type="dxa"/>
            <w:vAlign w:val="bottom"/>
            <w:tcBorders>
              <w:top w:val="single" w:sz="8" w:color="DDDDDD"/>
            </w:tcBorders>
            <w:shd w:val="clear" w:color="auto" w:fill="DDDDDD"/>
          </w:tcPr>
          <w:p>
            <w:pPr>
              <w:spacing w:after="0"/>
              <w:rPr>
                <w:sz w:val="12"/>
                <w:szCs w:val="12"/>
                <w:color w:val="auto"/>
              </w:rPr>
            </w:pPr>
          </w:p>
        </w:tc>
        <w:tc>
          <w:tcPr>
            <w:tcW w:w="20" w:type="dxa"/>
            <w:vAlign w:val="bottom"/>
            <w:tcBorders>
              <w:top w:val="single" w:sz="8" w:color="DDDDDD"/>
            </w:tcBorders>
            <w:shd w:val="clear" w:color="auto" w:fill="DDDDDD"/>
          </w:tcPr>
          <w:p>
            <w:pPr>
              <w:spacing w:after="0"/>
              <w:rPr>
                <w:sz w:val="12"/>
                <w:szCs w:val="12"/>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Year ended 12/31/2019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color w:val="auto"/>
              </w:rPr>
              <w:t>6,733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10,685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(3,038)</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14,380</w:t>
            </w:r>
          </w:p>
        </w:tc>
        <w:tc>
          <w:tcPr>
            <w:tcW w:w="20" w:type="dxa"/>
            <w:vAlign w:val="bottom"/>
          </w:tcPr>
          <w:p>
            <w:pPr>
              <w:spacing w:after="0"/>
              <w:rPr>
                <w:sz w:val="14"/>
                <w:szCs w:val="14"/>
                <w:color w:val="auto"/>
              </w:rPr>
            </w:pPr>
          </w:p>
        </w:tc>
      </w:tr>
      <w:tr>
        <w:trPr>
          <w:trHeight w:val="162"/>
        </w:trPr>
        <w:tc>
          <w:tcPr>
            <w:tcW w:w="6040" w:type="dxa"/>
            <w:vAlign w:val="bottom"/>
            <w:shd w:val="clear" w:color="auto" w:fill="DDDDDD"/>
          </w:tcPr>
          <w:p>
            <w:pPr>
              <w:spacing w:after="0"/>
              <w:rPr>
                <w:sz w:val="20"/>
                <w:szCs w:val="20"/>
                <w:color w:val="auto"/>
              </w:rPr>
            </w:pPr>
            <w:r>
              <w:rPr>
                <w:rFonts w:ascii="Arial" w:cs="Arial" w:eastAsia="Arial" w:hAnsi="Arial"/>
                <w:sz w:val="14"/>
                <w:szCs w:val="14"/>
                <w:color w:val="auto"/>
              </w:rPr>
              <w:t>Year ended 12/31/2020</w:t>
            </w:r>
          </w:p>
        </w:tc>
        <w:tc>
          <w:tcPr>
            <w:tcW w:w="16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DDDDDD"/>
          </w:tcPr>
          <w:p>
            <w:pPr>
              <w:jc w:val="right"/>
              <w:ind w:right="520"/>
              <w:spacing w:after="0"/>
              <w:rPr>
                <w:sz w:val="20"/>
                <w:szCs w:val="20"/>
                <w:color w:val="auto"/>
              </w:rPr>
            </w:pPr>
            <w:r>
              <w:rPr>
                <w:rFonts w:ascii="Arial" w:cs="Arial" w:eastAsia="Arial" w:hAnsi="Arial"/>
                <w:sz w:val="14"/>
                <w:szCs w:val="14"/>
                <w:color w:val="auto"/>
              </w:rPr>
              <w:t>14,380</w:t>
            </w:r>
          </w:p>
        </w:tc>
        <w:tc>
          <w:tcPr>
            <w:tcW w:w="16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DDDDD"/>
          </w:tcPr>
          <w:p>
            <w:pPr>
              <w:jc w:val="right"/>
              <w:ind w:right="500"/>
              <w:spacing w:after="0"/>
              <w:rPr>
                <w:sz w:val="20"/>
                <w:szCs w:val="20"/>
                <w:color w:val="auto"/>
              </w:rPr>
            </w:pPr>
            <w:r>
              <w:rPr>
                <w:rFonts w:ascii="Arial" w:cs="Arial" w:eastAsia="Arial" w:hAnsi="Arial"/>
                <w:sz w:val="14"/>
                <w:szCs w:val="14"/>
                <w:color w:val="auto"/>
              </w:rPr>
              <w:t>18,943</w:t>
            </w:r>
          </w:p>
        </w:tc>
        <w:tc>
          <w:tcPr>
            <w:tcW w:w="12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(7,486)</w:t>
            </w:r>
          </w:p>
        </w:tc>
        <w:tc>
          <w:tcPr>
            <w:tcW w:w="340" w:type="dxa"/>
            <w:vAlign w:val="bottom"/>
            <w:gridSpan w:val="2"/>
            <w:shd w:val="clear" w:color="auto" w:fill="DDDDDD"/>
          </w:tcPr>
          <w:p>
            <w:pPr>
              <w:ind w:left="26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25,837</w:t>
            </w:r>
          </w:p>
        </w:tc>
        <w:tc>
          <w:tcPr>
            <w:tcW w:w="20" w:type="dxa"/>
            <w:vAlign w:val="bottom"/>
            <w:shd w:val="clear" w:color="auto" w:fill="DDDDDD"/>
          </w:tcPr>
          <w:p>
            <w:pPr>
              <w:spacing w:after="0"/>
              <w:rPr>
                <w:sz w:val="14"/>
                <w:szCs w:val="14"/>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Six months ended 6/30/2021 (unaudited)</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color w:val="auto"/>
              </w:rPr>
              <w:t>25,837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15,724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(7,233)</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34,328</w:t>
            </w:r>
          </w:p>
        </w:tc>
        <w:tc>
          <w:tcPr>
            <w:tcW w:w="20" w:type="dxa"/>
            <w:vAlign w:val="bottom"/>
          </w:tcPr>
          <w:p>
            <w:pPr>
              <w:spacing w:after="0"/>
              <w:rPr>
                <w:sz w:val="14"/>
                <w:szCs w:val="14"/>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ind w:left="540"/>
              <w:spacing w:after="0"/>
              <w:rPr>
                <w:sz w:val="20"/>
                <w:szCs w:val="20"/>
                <w:color w:val="auto"/>
              </w:rPr>
            </w:pPr>
            <w:r>
              <w:rPr>
                <w:rFonts w:ascii="Arial" w:cs="Arial" w:eastAsia="Arial" w:hAnsi="Arial"/>
                <w:sz w:val="16"/>
                <w:szCs w:val="16"/>
                <w:color w:val="auto"/>
                <w:w w:val="97"/>
              </w:rPr>
              <w:t>F-18</w:t>
            </w: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—Property, equipment, and purchased software are stated at cost, less accumulated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Depreciation is computed using the straight-line method over the estimated useful lives of the respective assets, which are generally three years for computers, purchased software, and equipment,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statements of operations.</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7"/>
          <w:szCs w:val="17"/>
          <w:b w:val="1"/>
          <w:bCs w:val="1"/>
          <w:i w:val="1"/>
          <w:iCs w:val="1"/>
          <w:color w:val="auto"/>
        </w:rPr>
        <w:t>Capitalized Software, Net</w:t>
      </w:r>
      <w:r>
        <w:rPr>
          <w:rFonts w:ascii="Arial" w:cs="Arial" w:eastAsia="Arial" w:hAnsi="Arial"/>
          <w:sz w:val="17"/>
          <w:szCs w:val="17"/>
          <w:color w:val="auto"/>
        </w:rPr>
        <w:t>—The Company capitalizes costs to develop software for internal use incurred during the application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stage. Costs related to preliminary project activities and post implementation activities are expensed as incurred. Once an application has reached the development stage, qualifying internal and external costs are capitalized until the software feature is substantially complete and ready for its intended use. Capitalized qualifying costs are amortized on a straight-line basis when the software is ready for its intended use over an estimated useful life, which is generally three years. The Company evaluates the useful lives of these assets and test for impairment whenever events or changes in circumstances occur that could impact the recoverability of these assets.</w:t>
      </w:r>
    </w:p>
    <w:p>
      <w:pPr>
        <w:spacing w:after="0" w:line="16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—The Company evaluates the carrying value of long-lived assets, such as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whenever events or changes in circumstances indicate that the carrying value of the asset may not be recoverable. An impairment loss is recognized when estimated undiscounted future cash flows expected to result from the use of the asset, including disposition, are less than the carrying value of the asset. The impairment to be recognized is measured by the amount by which the carrying amount exceeds the fair value of the assets. The Company did not identify any impairment losses on long-lived assets for the years ended December 31, 2019 and 2020, and for the six months ended June 30, 2020 and 2021 (unaudited).</w:t>
      </w:r>
    </w:p>
    <w:p>
      <w:pPr>
        <w:spacing w:after="0" w:line="17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i w:val="1"/>
          <w:iCs w:val="1"/>
          <w:color w:val="auto"/>
        </w:rPr>
        <w:t>Deferred Revenue</w:t>
      </w:r>
      <w:r>
        <w:rPr>
          <w:rFonts w:ascii="Arial" w:cs="Arial" w:eastAsia="Arial" w:hAnsi="Arial"/>
          <w:sz w:val="18"/>
          <w:szCs w:val="18"/>
          <w:color w:val="auto"/>
        </w:rPr>
        <w:t>—The Company records contract liabilities to deferred revenue for amounts billed to customers in advance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obligations being satisfied, and primarily consists of the unearned portion of Enterprise and Consumer services.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98"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During the years ended December 31, 2019 and 2020, the Company recognized revenues that were included in the deferred revenue balances at the beginning of the year of $62.4 million and $83.4 million, respectively. During the six months ended June 30, 2020 and 2021 (unaudited), the Company recognized revenues that were included in the deferred revenue balances at the beginning of the year of $73.1 million and $104.2 million, respectively.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a summary of deferred revenue balances by reportable segment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3"/>
          </w:tcPr>
          <w:p>
            <w:pPr>
              <w:ind w:left="58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56"/>
        </w:trPr>
        <w:tc>
          <w:tcPr>
            <w:tcW w:w="6160" w:type="dxa"/>
            <w:vAlign w:val="bottom"/>
            <w:tcBorders>
              <w:bottom w:val="single" w:sz="8" w:color="DDDDDD"/>
            </w:tcBorders>
          </w:tcPr>
          <w:p>
            <w:pPr>
              <w:spacing w:after="0"/>
              <w:rPr>
                <w:sz w:val="13"/>
                <w:szCs w:val="13"/>
                <w:color w:val="auto"/>
              </w:rPr>
            </w:pPr>
          </w:p>
        </w:tc>
        <w:tc>
          <w:tcPr>
            <w:tcW w:w="100" w:type="dxa"/>
            <w:vAlign w:val="bottom"/>
            <w:tcBorders>
              <w:bottom w:val="single" w:sz="8" w:color="DDDDDD"/>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DDDDDD"/>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DDDDDD"/>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DDDDD"/>
            </w:tcBorders>
          </w:tcPr>
          <w:p>
            <w:pPr>
              <w:spacing w:after="0"/>
              <w:rPr>
                <w:sz w:val="13"/>
                <w:szCs w:val="13"/>
                <w:color w:val="auto"/>
              </w:rPr>
            </w:pPr>
          </w:p>
        </w:tc>
      </w:tr>
      <w:tr>
        <w:trPr>
          <w:trHeight w:val="196"/>
        </w:trPr>
        <w:tc>
          <w:tcPr>
            <w:tcW w:w="6160" w:type="dxa"/>
            <w:vAlign w:val="bottom"/>
            <w:shd w:val="clear" w:color="auto" w:fill="DDDDDD"/>
          </w:tcPr>
          <w:p>
            <w:pPr>
              <w:jc w:val="center"/>
              <w:ind w:right="4928"/>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020" w:type="dxa"/>
            <w:vAlign w:val="bottom"/>
            <w:gridSpan w:val="2"/>
            <w:shd w:val="clear" w:color="auto" w:fill="DDDDDD"/>
          </w:tcPr>
          <w:p>
            <w:pPr>
              <w:ind w:left="120"/>
              <w:spacing w:after="0"/>
              <w:rPr>
                <w:sz w:val="20"/>
                <w:szCs w:val="20"/>
                <w:color w:val="auto"/>
              </w:rPr>
            </w:pPr>
            <w:r>
              <w:rPr>
                <w:rFonts w:ascii="Arial" w:cs="Arial" w:eastAsia="Arial" w:hAnsi="Arial"/>
                <w:sz w:val="14"/>
                <w:szCs w:val="14"/>
                <w:color w:val="auto"/>
              </w:rPr>
              <w:t>(unaudited)</w:t>
            </w:r>
          </w:p>
        </w:tc>
      </w:tr>
      <w:tr>
        <w:trPr>
          <w:trHeight w:val="162"/>
        </w:trPr>
        <w:tc>
          <w:tcPr>
            <w:tcW w:w="6160" w:type="dxa"/>
            <w:vAlign w:val="bottom"/>
          </w:tcPr>
          <w:p>
            <w:pPr>
              <w:jc w:val="center"/>
              <w:ind w:right="4908"/>
              <w:spacing w:after="0"/>
              <w:rPr>
                <w:sz w:val="20"/>
                <w:szCs w:val="20"/>
                <w:color w:val="auto"/>
              </w:rPr>
            </w:pPr>
            <w:r>
              <w:rPr>
                <w:rFonts w:ascii="Arial" w:cs="Arial" w:eastAsia="Arial" w:hAnsi="Arial"/>
                <w:sz w:val="14"/>
                <w:szCs w:val="14"/>
                <w:color w:val="auto"/>
              </w:rPr>
              <w:t>Enterprise</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w w:val="97"/>
              </w:rPr>
              <w:t>40,686</w:t>
            </w:r>
          </w:p>
        </w:tc>
        <w:tc>
          <w:tcPr>
            <w:tcW w:w="9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84,241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109,043</w:t>
            </w:r>
          </w:p>
        </w:tc>
      </w:tr>
      <w:tr>
        <w:trPr>
          <w:trHeight w:val="210"/>
        </w:trPr>
        <w:tc>
          <w:tcPr>
            <w:tcW w:w="6160" w:type="dxa"/>
            <w:vAlign w:val="bottom"/>
            <w:shd w:val="clear" w:color="auto" w:fill="DDDDDD"/>
          </w:tcPr>
          <w:p>
            <w:pPr>
              <w:jc w:val="center"/>
              <w:ind w:right="4888"/>
              <w:spacing w:after="0"/>
              <w:rPr>
                <w:sz w:val="20"/>
                <w:szCs w:val="20"/>
                <w:color w:val="auto"/>
              </w:rPr>
            </w:pPr>
            <w:r>
              <w:rPr>
                <w:rFonts w:ascii="Arial" w:cs="Arial" w:eastAsia="Arial" w:hAnsi="Arial"/>
                <w:sz w:val="14"/>
                <w:szCs w:val="14"/>
                <w:color w:val="auto"/>
              </w:rPr>
              <w:t>Consumer</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1040" w:type="dxa"/>
            <w:vAlign w:val="bottom"/>
            <w:shd w:val="clear" w:color="auto" w:fill="DDDDDD"/>
          </w:tcPr>
          <w:p>
            <w:pPr>
              <w:ind w:left="600"/>
              <w:spacing w:after="0"/>
              <w:rPr>
                <w:sz w:val="20"/>
                <w:szCs w:val="20"/>
                <w:color w:val="auto"/>
              </w:rPr>
            </w:pPr>
            <w:r>
              <w:rPr>
                <w:rFonts w:ascii="Arial" w:cs="Arial" w:eastAsia="Arial" w:hAnsi="Arial"/>
                <w:sz w:val="14"/>
                <w:szCs w:val="14"/>
                <w:color w:val="auto"/>
                <w:w w:val="97"/>
              </w:rPr>
              <w:t>47,023</w:t>
            </w:r>
          </w:p>
        </w:tc>
        <w:tc>
          <w:tcPr>
            <w:tcW w:w="42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300" w:type="dxa"/>
            <w:vAlign w:val="bottom"/>
            <w:gridSpan w:val="2"/>
            <w:shd w:val="clear" w:color="auto" w:fill="DDDDDD"/>
          </w:tcPr>
          <w:p>
            <w:pPr>
              <w:jc w:val="right"/>
              <w:ind w:right="440"/>
              <w:spacing w:after="0"/>
              <w:rPr>
                <w:sz w:val="20"/>
                <w:szCs w:val="20"/>
                <w:color w:val="auto"/>
              </w:rPr>
            </w:pPr>
            <w:r>
              <w:rPr>
                <w:rFonts w:ascii="Arial" w:cs="Arial" w:eastAsia="Arial" w:hAnsi="Arial"/>
                <w:sz w:val="14"/>
                <w:szCs w:val="14"/>
                <w:color w:val="auto"/>
              </w:rPr>
              <w:t>58,135</w:t>
            </w:r>
          </w:p>
        </w:tc>
        <w:tc>
          <w:tcPr>
            <w:tcW w:w="200" w:type="dxa"/>
            <w:vAlign w:val="bottom"/>
            <w:shd w:val="clear" w:color="auto" w:fill="DDDDDD"/>
          </w:tcPr>
          <w:p>
            <w:pPr>
              <w:spacing w:after="0"/>
              <w:rPr>
                <w:sz w:val="18"/>
                <w:szCs w:val="18"/>
                <w:color w:val="auto"/>
              </w:rPr>
            </w:pPr>
          </w:p>
        </w:tc>
        <w:tc>
          <w:tcPr>
            <w:tcW w:w="10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54,928</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6160" w:type="dxa"/>
            <w:vAlign w:val="bottom"/>
          </w:tcPr>
          <w:p>
            <w:pPr>
              <w:spacing w:after="0"/>
              <w:rPr>
                <w:sz w:val="20"/>
                <w:szCs w:val="20"/>
                <w:color w:val="auto"/>
              </w:rPr>
            </w:pPr>
            <w:r>
              <w:rPr>
                <w:rFonts w:ascii="Arial" w:cs="Arial" w:eastAsia="Arial" w:hAnsi="Arial"/>
                <w:sz w:val="14"/>
                <w:szCs w:val="14"/>
                <w:color w:val="auto"/>
              </w:rPr>
              <w:t>Total deferred revenue</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ind w:left="600"/>
              <w:spacing w:after="0"/>
              <w:rPr>
                <w:sz w:val="20"/>
                <w:szCs w:val="20"/>
                <w:color w:val="auto"/>
              </w:rPr>
            </w:pPr>
            <w:r>
              <w:rPr>
                <w:rFonts w:ascii="Arial" w:cs="Arial" w:eastAsia="Arial" w:hAnsi="Arial"/>
                <w:sz w:val="14"/>
                <w:szCs w:val="14"/>
                <w:color w:val="auto"/>
                <w:w w:val="97"/>
              </w:rPr>
              <w:t>87,709</w:t>
            </w:r>
          </w:p>
        </w:tc>
        <w:tc>
          <w:tcPr>
            <w:tcW w:w="42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142,376</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163,971</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for performance obligations not delivered, or partially undelivered, as of the end of the reporting period. Remaining performance obligations relate to unearned revenue from consumer single course purchase arrangements and unearned and un-billed revenue from multi-year enterprise subscription contracts with future installment payments at the end of any given period. As of December 31, 2020, the aggregate transaction price for remaining</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performance obligations was $192.4 million, of which 81% is expected to be recognized during 2021 and the remainder thereafter. As of June 30, 2021 (unaudited), the aggregate transaction price for remaining performance obligations was $233.1 million, of which 78% is expected to be recognized during the twelve months ending June 30, 2022, and the remainder thereafter.</w:t>
      </w:r>
    </w:p>
    <w:p>
      <w:pPr>
        <w:spacing w:after="0" w:line="181"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Company considers fair value as the exchange price that would be received for an asset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transfer a liability, an exit price, in the principal or most advantageous market for the asset or liability in an orderly transaction between market participants at the measurement date. Valuation techniques used to measure fair value are either observable or unobservable. Observable inputs reflect assumptions that market participants would use in pricing an asset or liability based on market data obtained from independent sources, while unobservable inputs reflect a reporting entity’s pricing based on their own market assumptions.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utilizes the following three-level fair value hierarchy to establish the priorities of the inputs used to measure fair value:</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for identical assets or liabilities;</w:t>
      </w:r>
    </w:p>
    <w:p>
      <w:pPr>
        <w:spacing w:after="0" w:line="104" w:lineRule="exact"/>
        <w:rPr>
          <w:sz w:val="20"/>
          <w:szCs w:val="20"/>
          <w:color w:val="auto"/>
        </w:rPr>
      </w:pPr>
    </w:p>
    <w:p>
      <w:pPr>
        <w:ind w:left="560" w:right="100"/>
        <w:spacing w:after="0" w:line="25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for similar assets or liabilities in an active market,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markets that are not active, inputs other than quoted prices that are observable and market-corroborated inputs which are derived principally from or corroborated by observable market data; and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derived from valuation techniques in which one or more significant inputs or value drivers are unobservable.</w:t>
      </w:r>
    </w:p>
    <w:p>
      <w:pPr>
        <w:spacing w:after="0" w:line="230"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carrying amounts of cash, cash equivalents, restricted cash, and accounts receivable, as well as accounts payable, approximate fair value due to the relatively short-term maturities and are classified as short-term assets and liabilities, respectively, in the accompanying consolidated balance sheets.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measurements of assets and liabilities that are measured at fair value on a recurring basis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2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156"/>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 2019</w:t>
            </w:r>
          </w:p>
        </w:tc>
        <w:tc>
          <w:tcPr>
            <w:tcW w:w="720" w:type="dxa"/>
            <w:vAlign w:val="bottom"/>
          </w:tcPr>
          <w:p>
            <w:pPr>
              <w:spacing w:after="0"/>
              <w:rPr>
                <w:sz w:val="13"/>
                <w:szCs w:val="13"/>
                <w:color w:val="auto"/>
              </w:rPr>
            </w:pPr>
          </w:p>
        </w:tc>
        <w:tc>
          <w:tcPr>
            <w:tcW w:w="94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Level 1</w:t>
            </w:r>
          </w:p>
        </w:tc>
        <w:tc>
          <w:tcPr>
            <w:tcW w:w="880" w:type="dxa"/>
            <w:vAlign w:val="bottom"/>
          </w:tcPr>
          <w:p>
            <w:pPr>
              <w:spacing w:after="0"/>
              <w:rPr>
                <w:sz w:val="13"/>
                <w:szCs w:val="13"/>
                <w:color w:val="auto"/>
              </w:rPr>
            </w:pPr>
          </w:p>
        </w:tc>
        <w:tc>
          <w:tcPr>
            <w:tcW w:w="1400" w:type="dxa"/>
            <w:vAlign w:val="bottom"/>
            <w:gridSpan w:val="3"/>
          </w:tcPr>
          <w:p>
            <w:pPr>
              <w:jc w:val="right"/>
              <w:ind w:right="900"/>
              <w:spacing w:after="0" w:line="155"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tcPr>
          <w:p>
            <w:pPr>
              <w:spacing w:after="0"/>
              <w:rPr>
                <w:sz w:val="13"/>
                <w:szCs w:val="13"/>
                <w:color w:val="auto"/>
              </w:rPr>
            </w:pPr>
          </w:p>
        </w:tc>
      </w:tr>
      <w:tr>
        <w:trPr>
          <w:trHeight w:val="169"/>
        </w:trPr>
        <w:tc>
          <w:tcPr>
            <w:tcW w:w="562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4"/>
                <w:szCs w:val="14"/>
                <w:color w:val="auto"/>
              </w:rPr>
              <w:t>Financial liabilities:</w:t>
            </w:r>
          </w:p>
        </w:tc>
        <w:tc>
          <w:tcPr>
            <w:tcW w:w="72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auto"/>
            </w:tcBorders>
            <w:shd w:val="clear" w:color="auto" w:fill="DDDDDD"/>
          </w:tcPr>
          <w:p>
            <w:pPr>
              <w:spacing w:after="0"/>
              <w:rPr>
                <w:sz w:val="14"/>
                <w:szCs w:val="14"/>
                <w:color w:val="auto"/>
              </w:rPr>
            </w:pPr>
          </w:p>
        </w:tc>
        <w:tc>
          <w:tcPr>
            <w:tcW w:w="280" w:type="dxa"/>
            <w:vAlign w:val="bottom"/>
            <w:tcBorders>
              <w:top w:val="single" w:sz="8" w:color="auto"/>
            </w:tcBorders>
            <w:shd w:val="clear" w:color="auto" w:fill="DDDDDD"/>
          </w:tcPr>
          <w:p>
            <w:pPr>
              <w:spacing w:after="0"/>
              <w:rPr>
                <w:sz w:val="14"/>
                <w:szCs w:val="14"/>
                <w:color w:val="auto"/>
              </w:rPr>
            </w:pPr>
          </w:p>
        </w:tc>
        <w:tc>
          <w:tcPr>
            <w:tcW w:w="440" w:type="dxa"/>
            <w:vAlign w:val="bottom"/>
            <w:tcBorders>
              <w:top w:val="single" w:sz="8" w:color="DDDDDD"/>
            </w:tcBorders>
            <w:shd w:val="clear" w:color="auto" w:fill="DDDDDD"/>
          </w:tcPr>
          <w:p>
            <w:pPr>
              <w:spacing w:after="0"/>
              <w:rPr>
                <w:sz w:val="14"/>
                <w:szCs w:val="14"/>
                <w:color w:val="auto"/>
              </w:rPr>
            </w:pPr>
          </w:p>
        </w:tc>
        <w:tc>
          <w:tcPr>
            <w:tcW w:w="88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auto"/>
            </w:tcBorders>
            <w:shd w:val="clear" w:color="auto" w:fill="DDDDDD"/>
          </w:tcPr>
          <w:p>
            <w:pPr>
              <w:spacing w:after="0"/>
              <w:rPr>
                <w:sz w:val="14"/>
                <w:szCs w:val="14"/>
                <w:color w:val="auto"/>
              </w:rPr>
            </w:pPr>
          </w:p>
        </w:tc>
        <w:tc>
          <w:tcPr>
            <w:tcW w:w="280" w:type="dxa"/>
            <w:vAlign w:val="bottom"/>
            <w:tcBorders>
              <w:top w:val="single" w:sz="8" w:color="auto"/>
            </w:tcBorders>
            <w:shd w:val="clear" w:color="auto" w:fill="DDDDDD"/>
          </w:tcPr>
          <w:p>
            <w:pPr>
              <w:spacing w:after="0"/>
              <w:rPr>
                <w:sz w:val="14"/>
                <w:szCs w:val="14"/>
                <w:color w:val="auto"/>
              </w:rPr>
            </w:pPr>
          </w:p>
        </w:tc>
        <w:tc>
          <w:tcPr>
            <w:tcW w:w="900" w:type="dxa"/>
            <w:vAlign w:val="bottom"/>
            <w:tcBorders>
              <w:top w:val="single" w:sz="8" w:color="DDDDDD"/>
            </w:tcBorders>
            <w:shd w:val="clear" w:color="auto" w:fill="DDDDDD"/>
          </w:tcPr>
          <w:p>
            <w:pPr>
              <w:spacing w:after="0"/>
              <w:rPr>
                <w:sz w:val="14"/>
                <w:szCs w:val="14"/>
                <w:color w:val="auto"/>
              </w:rPr>
            </w:pPr>
          </w:p>
        </w:tc>
        <w:tc>
          <w:tcPr>
            <w:tcW w:w="440" w:type="dxa"/>
            <w:vAlign w:val="bottom"/>
            <w:tcBorders>
              <w:top w:val="single" w:sz="8" w:color="DDDDDD"/>
            </w:tcBorders>
            <w:shd w:val="clear" w:color="auto" w:fill="DDDDDD"/>
          </w:tcPr>
          <w:p>
            <w:pPr>
              <w:spacing w:after="0"/>
              <w:rPr>
                <w:sz w:val="14"/>
                <w:szCs w:val="14"/>
                <w:color w:val="auto"/>
              </w:rPr>
            </w:pPr>
          </w:p>
        </w:tc>
        <w:tc>
          <w:tcPr>
            <w:tcW w:w="160" w:type="dxa"/>
            <w:vAlign w:val="bottom"/>
            <w:tcBorders>
              <w:top w:val="single" w:sz="8" w:color="auto"/>
            </w:tcBorders>
            <w:shd w:val="clear" w:color="auto" w:fill="DDDDDD"/>
          </w:tcPr>
          <w:p>
            <w:pPr>
              <w:spacing w:after="0"/>
              <w:rPr>
                <w:sz w:val="14"/>
                <w:szCs w:val="14"/>
                <w:color w:val="auto"/>
              </w:rPr>
            </w:pPr>
          </w:p>
        </w:tc>
        <w:tc>
          <w:tcPr>
            <w:tcW w:w="340" w:type="dxa"/>
            <w:vAlign w:val="bottom"/>
            <w:tcBorders>
              <w:top w:val="single" w:sz="8" w:color="auto"/>
            </w:tcBorders>
            <w:shd w:val="clear" w:color="auto" w:fill="DDDDDD"/>
          </w:tcPr>
          <w:p>
            <w:pPr>
              <w:spacing w:after="0"/>
              <w:rPr>
                <w:sz w:val="14"/>
                <w:szCs w:val="14"/>
                <w:color w:val="auto"/>
              </w:rPr>
            </w:pPr>
          </w:p>
        </w:tc>
        <w:tc>
          <w:tcPr>
            <w:tcW w:w="520" w:type="dxa"/>
            <w:vAlign w:val="bottom"/>
            <w:tcBorders>
              <w:top w:val="single" w:sz="8" w:color="DDDDDD"/>
            </w:tcBorders>
            <w:shd w:val="clear" w:color="auto" w:fill="DDDDDD"/>
          </w:tcPr>
          <w:p>
            <w:pPr>
              <w:spacing w:after="0"/>
              <w:rPr>
                <w:sz w:val="14"/>
                <w:szCs w:val="14"/>
                <w:color w:val="auto"/>
              </w:rPr>
            </w:pPr>
          </w:p>
        </w:tc>
      </w:tr>
      <w:tr>
        <w:trPr>
          <w:trHeight w:val="210"/>
        </w:trPr>
        <w:tc>
          <w:tcPr>
            <w:tcW w:w="5620" w:type="dxa"/>
            <w:vAlign w:val="bottom"/>
          </w:tcPr>
          <w:p>
            <w:pPr>
              <w:ind w:left="260"/>
              <w:spacing w:after="0"/>
              <w:rPr>
                <w:sz w:val="20"/>
                <w:szCs w:val="20"/>
                <w:color w:val="auto"/>
              </w:rPr>
            </w:pPr>
            <w:r>
              <w:rPr>
                <w:rFonts w:ascii="Arial" w:cs="Arial" w:eastAsia="Arial" w:hAnsi="Arial"/>
                <w:sz w:val="14"/>
                <w:szCs w:val="14"/>
                <w:color w:val="auto"/>
              </w:rPr>
              <w:t>Redeemable convertible preferred stock warrants</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108</w:t>
            </w:r>
          </w:p>
        </w:tc>
      </w:tr>
      <w:tr>
        <w:trPr>
          <w:trHeight w:val="168"/>
        </w:trPr>
        <w:tc>
          <w:tcPr>
            <w:tcW w:w="56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Cash settled stock appreciation rights</w:t>
            </w:r>
          </w:p>
        </w:tc>
        <w:tc>
          <w:tcPr>
            <w:tcW w:w="7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720" w:type="dxa"/>
            <w:vAlign w:val="bottom"/>
            <w:gridSpan w:val="2"/>
            <w:shd w:val="clear" w:color="auto" w:fill="DDDDDD"/>
          </w:tcPr>
          <w:p>
            <w:pPr>
              <w:jc w:val="right"/>
              <w:ind w:righ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1180" w:type="dxa"/>
            <w:vAlign w:val="bottom"/>
            <w:gridSpan w:val="2"/>
            <w:shd w:val="clear" w:color="auto" w:fill="DDDDDD"/>
          </w:tcPr>
          <w:p>
            <w:pPr>
              <w:jc w:val="right"/>
              <w:ind w:right="900"/>
              <w:spacing w:after="0"/>
              <w:rPr>
                <w:sz w:val="20"/>
                <w:szCs w:val="20"/>
                <w:color w:val="auto"/>
              </w:rPr>
            </w:pPr>
            <w:r>
              <w:rPr>
                <w:rFonts w:ascii="Arial" w:cs="Arial" w:eastAsia="Arial" w:hAnsi="Arial"/>
                <w:sz w:val="14"/>
                <w:szCs w:val="14"/>
                <w:color w:val="auto"/>
              </w:rPr>
              <w:t>—</w:t>
            </w:r>
          </w:p>
        </w:tc>
        <w:tc>
          <w:tcPr>
            <w:tcW w:w="44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60" w:type="dxa"/>
            <w:vAlign w:val="bottom"/>
            <w:gridSpan w:val="2"/>
            <w:shd w:val="clear" w:color="auto" w:fill="DDDDDD"/>
          </w:tcPr>
          <w:p>
            <w:pPr>
              <w:jc w:val="right"/>
              <w:ind w:right="520"/>
              <w:spacing w:after="0"/>
              <w:rPr>
                <w:sz w:val="20"/>
                <w:szCs w:val="20"/>
                <w:color w:val="auto"/>
              </w:rPr>
            </w:pPr>
            <w:r>
              <w:rPr>
                <w:rFonts w:ascii="Arial" w:cs="Arial" w:eastAsia="Arial" w:hAnsi="Arial"/>
                <w:sz w:val="14"/>
                <w:szCs w:val="14"/>
                <w:color w:val="auto"/>
              </w:rPr>
              <w:t>36</w:t>
            </w:r>
          </w:p>
        </w:tc>
      </w:tr>
      <w:tr>
        <w:trPr>
          <w:trHeight w:val="20"/>
        </w:trPr>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3"/>
        </w:trPr>
        <w:tc>
          <w:tcPr>
            <w:tcW w:w="5620" w:type="dxa"/>
            <w:vAlign w:val="bottom"/>
            <w:shd w:val="clear" w:color="auto" w:fill="DDDDDD"/>
          </w:tcPr>
          <w:p>
            <w:pPr>
              <w:spacing w:after="0"/>
              <w:rPr>
                <w:sz w:val="20"/>
                <w:szCs w:val="20"/>
                <w:color w:val="auto"/>
              </w:rPr>
            </w:pPr>
            <w:r>
              <w:rPr>
                <w:rFonts w:ascii="Arial" w:cs="Arial" w:eastAsia="Arial" w:hAnsi="Arial"/>
                <w:sz w:val="14"/>
                <w:szCs w:val="14"/>
                <w:color w:val="auto"/>
              </w:rPr>
              <w:t>Total financial liabilities</w:t>
            </w:r>
          </w:p>
        </w:tc>
        <w:tc>
          <w:tcPr>
            <w:tcW w:w="9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4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DDDDD"/>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DDDDDD"/>
          </w:tcPr>
          <w:p>
            <w:pPr>
              <w:ind w:left="4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DDDDD"/>
          </w:tcPr>
          <w:p>
            <w:pPr>
              <w:jc w:val="right"/>
              <w:ind w:right="520"/>
              <w:spacing w:after="0"/>
              <w:rPr>
                <w:sz w:val="20"/>
                <w:szCs w:val="20"/>
                <w:color w:val="auto"/>
              </w:rPr>
            </w:pPr>
            <w:r>
              <w:rPr>
                <w:rFonts w:ascii="Arial" w:cs="Arial" w:eastAsia="Arial" w:hAnsi="Arial"/>
                <w:sz w:val="14"/>
                <w:szCs w:val="14"/>
                <w:color w:val="auto"/>
              </w:rPr>
              <w:t>144</w:t>
            </w:r>
          </w:p>
        </w:tc>
      </w:tr>
      <w:tr>
        <w:trPr>
          <w:trHeight w:val="20"/>
        </w:trPr>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2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155"/>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720" w:type="dxa"/>
            <w:vAlign w:val="bottom"/>
          </w:tcPr>
          <w:p>
            <w:pPr>
              <w:spacing w:after="0"/>
              <w:rPr>
                <w:sz w:val="13"/>
                <w:szCs w:val="13"/>
                <w:color w:val="auto"/>
              </w:rPr>
            </w:pPr>
          </w:p>
        </w:tc>
        <w:tc>
          <w:tcPr>
            <w:tcW w:w="100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Level 1</w:t>
            </w:r>
          </w:p>
        </w:tc>
        <w:tc>
          <w:tcPr>
            <w:tcW w:w="820" w:type="dxa"/>
            <w:vAlign w:val="bottom"/>
          </w:tcPr>
          <w:p>
            <w:pPr>
              <w:spacing w:after="0"/>
              <w:rPr>
                <w:sz w:val="13"/>
                <w:szCs w:val="13"/>
                <w:color w:val="auto"/>
              </w:rPr>
            </w:pPr>
          </w:p>
        </w:tc>
        <w:tc>
          <w:tcPr>
            <w:tcW w:w="1400" w:type="dxa"/>
            <w:vAlign w:val="bottom"/>
            <w:gridSpan w:val="3"/>
          </w:tcPr>
          <w:p>
            <w:pPr>
              <w:jc w:val="right"/>
              <w:ind w:right="900"/>
              <w:spacing w:after="0" w:line="155"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tcPr>
          <w:p>
            <w:pPr>
              <w:spacing w:after="0"/>
              <w:rPr>
                <w:sz w:val="13"/>
                <w:szCs w:val="13"/>
                <w:color w:val="auto"/>
              </w:rPr>
            </w:pPr>
          </w:p>
        </w:tc>
      </w:tr>
      <w:tr>
        <w:trPr>
          <w:trHeight w:val="169"/>
        </w:trPr>
        <w:tc>
          <w:tcPr>
            <w:tcW w:w="562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4"/>
                <w:szCs w:val="14"/>
                <w:color w:val="auto"/>
              </w:rPr>
              <w:t>Financial liabilities:</w:t>
            </w:r>
          </w:p>
        </w:tc>
        <w:tc>
          <w:tcPr>
            <w:tcW w:w="72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auto"/>
            </w:tcBorders>
            <w:shd w:val="clear" w:color="auto" w:fill="DDDDDD"/>
          </w:tcPr>
          <w:p>
            <w:pPr>
              <w:spacing w:after="0"/>
              <w:rPr>
                <w:sz w:val="14"/>
                <w:szCs w:val="14"/>
                <w:color w:val="auto"/>
              </w:rPr>
            </w:pPr>
          </w:p>
        </w:tc>
        <w:tc>
          <w:tcPr>
            <w:tcW w:w="280" w:type="dxa"/>
            <w:vAlign w:val="bottom"/>
            <w:tcBorders>
              <w:top w:val="single" w:sz="8" w:color="auto"/>
            </w:tcBorders>
            <w:shd w:val="clear" w:color="auto" w:fill="DDDDDD"/>
          </w:tcPr>
          <w:p>
            <w:pPr>
              <w:spacing w:after="0"/>
              <w:rPr>
                <w:sz w:val="14"/>
                <w:szCs w:val="14"/>
                <w:color w:val="auto"/>
              </w:rPr>
            </w:pPr>
          </w:p>
        </w:tc>
        <w:tc>
          <w:tcPr>
            <w:tcW w:w="500" w:type="dxa"/>
            <w:vAlign w:val="bottom"/>
            <w:tcBorders>
              <w:top w:val="single" w:sz="8" w:color="DDDDDD"/>
            </w:tcBorders>
            <w:shd w:val="clear" w:color="auto" w:fill="DDDDDD"/>
          </w:tcPr>
          <w:p>
            <w:pPr>
              <w:spacing w:after="0"/>
              <w:rPr>
                <w:sz w:val="14"/>
                <w:szCs w:val="14"/>
                <w:color w:val="auto"/>
              </w:rPr>
            </w:pPr>
          </w:p>
        </w:tc>
        <w:tc>
          <w:tcPr>
            <w:tcW w:w="820" w:type="dxa"/>
            <w:vAlign w:val="bottom"/>
            <w:tcBorders>
              <w:top w:val="single" w:sz="8" w:color="DDDDDD"/>
            </w:tcBorders>
            <w:shd w:val="clear" w:color="auto" w:fill="DDDDDD"/>
          </w:tcPr>
          <w:p>
            <w:pPr>
              <w:spacing w:after="0"/>
              <w:rPr>
                <w:sz w:val="14"/>
                <w:szCs w:val="14"/>
                <w:color w:val="auto"/>
              </w:rPr>
            </w:pPr>
          </w:p>
        </w:tc>
        <w:tc>
          <w:tcPr>
            <w:tcW w:w="220" w:type="dxa"/>
            <w:vAlign w:val="bottom"/>
            <w:tcBorders>
              <w:top w:val="single" w:sz="8" w:color="auto"/>
            </w:tcBorders>
            <w:shd w:val="clear" w:color="auto" w:fill="DDDDDD"/>
          </w:tcPr>
          <w:p>
            <w:pPr>
              <w:spacing w:after="0"/>
              <w:rPr>
                <w:sz w:val="14"/>
                <w:szCs w:val="14"/>
                <w:color w:val="auto"/>
              </w:rPr>
            </w:pPr>
          </w:p>
        </w:tc>
        <w:tc>
          <w:tcPr>
            <w:tcW w:w="280" w:type="dxa"/>
            <w:vAlign w:val="bottom"/>
            <w:tcBorders>
              <w:top w:val="single" w:sz="8" w:color="auto"/>
            </w:tcBorders>
            <w:shd w:val="clear" w:color="auto" w:fill="DDDDDD"/>
          </w:tcPr>
          <w:p>
            <w:pPr>
              <w:spacing w:after="0"/>
              <w:rPr>
                <w:sz w:val="14"/>
                <w:szCs w:val="14"/>
                <w:color w:val="auto"/>
              </w:rPr>
            </w:pPr>
          </w:p>
        </w:tc>
        <w:tc>
          <w:tcPr>
            <w:tcW w:w="900" w:type="dxa"/>
            <w:vAlign w:val="bottom"/>
            <w:tcBorders>
              <w:top w:val="single" w:sz="8" w:color="DDDDDD"/>
            </w:tcBorders>
            <w:shd w:val="clear" w:color="auto" w:fill="DDDDDD"/>
          </w:tcPr>
          <w:p>
            <w:pPr>
              <w:spacing w:after="0"/>
              <w:rPr>
                <w:sz w:val="14"/>
                <w:szCs w:val="14"/>
                <w:color w:val="auto"/>
              </w:rPr>
            </w:pPr>
          </w:p>
        </w:tc>
        <w:tc>
          <w:tcPr>
            <w:tcW w:w="440" w:type="dxa"/>
            <w:vAlign w:val="bottom"/>
            <w:tcBorders>
              <w:top w:val="single" w:sz="8" w:color="DDDDDD"/>
            </w:tcBorders>
            <w:shd w:val="clear" w:color="auto" w:fill="DDDDDD"/>
          </w:tcPr>
          <w:p>
            <w:pPr>
              <w:spacing w:after="0"/>
              <w:rPr>
                <w:sz w:val="14"/>
                <w:szCs w:val="14"/>
                <w:color w:val="auto"/>
              </w:rPr>
            </w:pPr>
          </w:p>
        </w:tc>
        <w:tc>
          <w:tcPr>
            <w:tcW w:w="160" w:type="dxa"/>
            <w:vAlign w:val="bottom"/>
            <w:tcBorders>
              <w:top w:val="single" w:sz="8" w:color="auto"/>
            </w:tcBorders>
            <w:shd w:val="clear" w:color="auto" w:fill="DDDDDD"/>
          </w:tcPr>
          <w:p>
            <w:pPr>
              <w:spacing w:after="0"/>
              <w:rPr>
                <w:sz w:val="14"/>
                <w:szCs w:val="14"/>
                <w:color w:val="auto"/>
              </w:rPr>
            </w:pPr>
          </w:p>
        </w:tc>
        <w:tc>
          <w:tcPr>
            <w:tcW w:w="340" w:type="dxa"/>
            <w:vAlign w:val="bottom"/>
            <w:tcBorders>
              <w:top w:val="single" w:sz="8" w:color="auto"/>
            </w:tcBorders>
            <w:shd w:val="clear" w:color="auto" w:fill="DDDDDD"/>
          </w:tcPr>
          <w:p>
            <w:pPr>
              <w:spacing w:after="0"/>
              <w:rPr>
                <w:sz w:val="14"/>
                <w:szCs w:val="14"/>
                <w:color w:val="auto"/>
              </w:rPr>
            </w:pPr>
          </w:p>
        </w:tc>
        <w:tc>
          <w:tcPr>
            <w:tcW w:w="520" w:type="dxa"/>
            <w:vAlign w:val="bottom"/>
            <w:tcBorders>
              <w:top w:val="single" w:sz="8" w:color="DDDDDD"/>
            </w:tcBorders>
            <w:shd w:val="clear" w:color="auto" w:fill="DDDDDD"/>
          </w:tcPr>
          <w:p>
            <w:pPr>
              <w:spacing w:after="0"/>
              <w:rPr>
                <w:sz w:val="14"/>
                <w:szCs w:val="14"/>
                <w:color w:val="auto"/>
              </w:rPr>
            </w:pPr>
          </w:p>
        </w:tc>
      </w:tr>
      <w:tr>
        <w:trPr>
          <w:trHeight w:val="216"/>
        </w:trPr>
        <w:tc>
          <w:tcPr>
            <w:tcW w:w="56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Redeemable convertible preferred stock warrants</w:t>
            </w:r>
          </w:p>
        </w:tc>
        <w:tc>
          <w:tcPr>
            <w:tcW w:w="9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DDDDD"/>
          </w:tcPr>
          <w:p>
            <w:pPr>
              <w:jc w:val="right"/>
              <w:ind w:right="5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DDDDD"/>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DDDDD"/>
          </w:tcPr>
          <w:p>
            <w:pPr>
              <w:jc w:val="right"/>
              <w:ind w:right="520"/>
              <w:spacing w:after="0"/>
              <w:rPr>
                <w:sz w:val="20"/>
                <w:szCs w:val="20"/>
                <w:color w:val="auto"/>
              </w:rPr>
            </w:pPr>
            <w:r>
              <w:rPr>
                <w:rFonts w:ascii="Arial" w:cs="Arial" w:eastAsia="Arial" w:hAnsi="Arial"/>
                <w:sz w:val="14"/>
                <w:szCs w:val="14"/>
                <w:color w:val="auto"/>
              </w:rPr>
              <w:t>160</w:t>
            </w: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Cash settled stock appreciation rights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268</w:t>
            </w:r>
          </w:p>
        </w:tc>
      </w:tr>
      <w:tr>
        <w:trPr>
          <w:trHeight w:val="20"/>
        </w:trPr>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3"/>
        </w:trPr>
        <w:tc>
          <w:tcPr>
            <w:tcW w:w="5620" w:type="dxa"/>
            <w:vAlign w:val="bottom"/>
            <w:shd w:val="clear" w:color="auto" w:fill="DDDDDD"/>
          </w:tcPr>
          <w:p>
            <w:pPr>
              <w:spacing w:after="0"/>
              <w:rPr>
                <w:sz w:val="20"/>
                <w:szCs w:val="20"/>
                <w:color w:val="auto"/>
              </w:rPr>
            </w:pPr>
            <w:r>
              <w:rPr>
                <w:rFonts w:ascii="Arial" w:cs="Arial" w:eastAsia="Arial" w:hAnsi="Arial"/>
                <w:sz w:val="14"/>
                <w:szCs w:val="14"/>
                <w:color w:val="auto"/>
              </w:rPr>
              <w:t>Total financial liabilities</w:t>
            </w:r>
          </w:p>
        </w:tc>
        <w:tc>
          <w:tcPr>
            <w:tcW w:w="9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DDDDD"/>
          </w:tcPr>
          <w:p>
            <w:pPr>
              <w:jc w:val="right"/>
              <w:ind w:right="5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DDDDDD"/>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DDDDD"/>
          </w:tcPr>
          <w:p>
            <w:pPr>
              <w:jc w:val="right"/>
              <w:ind w:right="520"/>
              <w:spacing w:after="0"/>
              <w:rPr>
                <w:sz w:val="20"/>
                <w:szCs w:val="20"/>
                <w:color w:val="auto"/>
              </w:rPr>
            </w:pPr>
            <w:r>
              <w:rPr>
                <w:rFonts w:ascii="Arial" w:cs="Arial" w:eastAsia="Arial" w:hAnsi="Arial"/>
                <w:sz w:val="14"/>
                <w:szCs w:val="14"/>
                <w:color w:val="auto"/>
              </w:rPr>
              <w:t>428</w:t>
            </w:r>
          </w:p>
        </w:tc>
      </w:tr>
      <w:tr>
        <w:trPr>
          <w:trHeight w:val="20"/>
        </w:trPr>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0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Fair Value Hierarchy</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55"/>
        </w:trPr>
        <w:tc>
          <w:tcPr>
            <w:tcW w:w="5500" w:type="dxa"/>
            <w:vAlign w:val="bottom"/>
          </w:tcPr>
          <w:p>
            <w:pPr>
              <w:spacing w:after="0" w:line="155" w:lineRule="exact"/>
              <w:rPr>
                <w:sz w:val="20"/>
                <w:szCs w:val="20"/>
                <w:color w:val="auto"/>
              </w:rPr>
            </w:pPr>
            <w:r>
              <w:rPr>
                <w:rFonts w:ascii="Arial" w:cs="Arial" w:eastAsia="Arial" w:hAnsi="Arial"/>
                <w:sz w:val="14"/>
                <w:szCs w:val="14"/>
                <w:b w:val="1"/>
                <w:bCs w:val="1"/>
                <w:color w:val="auto"/>
              </w:rPr>
              <w:t>June 30, 2021</w:t>
            </w:r>
          </w:p>
        </w:tc>
        <w:tc>
          <w:tcPr>
            <w:tcW w:w="70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Level 1</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Level 2</w:t>
            </w:r>
          </w:p>
        </w:tc>
        <w:tc>
          <w:tcPr>
            <w:tcW w:w="1300" w:type="dxa"/>
            <w:vAlign w:val="bottom"/>
          </w:tcPr>
          <w:p>
            <w:pPr>
              <w:spacing w:after="0"/>
              <w:rPr>
                <w:sz w:val="13"/>
                <w:szCs w:val="13"/>
                <w:color w:val="auto"/>
              </w:rPr>
            </w:pPr>
          </w:p>
        </w:tc>
        <w:tc>
          <w:tcPr>
            <w:tcW w:w="5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3"/>
                <w:szCs w:val="13"/>
                <w:color w:val="auto"/>
              </w:rPr>
            </w:pPr>
          </w:p>
        </w:tc>
      </w:tr>
      <w:tr>
        <w:trPr>
          <w:trHeight w:val="155"/>
        </w:trPr>
        <w:tc>
          <w:tcPr>
            <w:tcW w:w="5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40" w:type="dxa"/>
            <w:vAlign w:val="bottom"/>
            <w:gridSpan w:val="3"/>
          </w:tcPr>
          <w:p>
            <w:pPr>
              <w:spacing w:after="0" w:line="155" w:lineRule="exact"/>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9"/>
        </w:trPr>
        <w:tc>
          <w:tcPr>
            <w:tcW w:w="5500" w:type="dxa"/>
            <w:vAlign w:val="bottom"/>
            <w:shd w:val="clear" w:color="auto" w:fill="DDDDDD"/>
          </w:tcPr>
          <w:p>
            <w:pPr>
              <w:spacing w:after="0"/>
              <w:rPr>
                <w:sz w:val="20"/>
                <w:szCs w:val="20"/>
                <w:color w:val="auto"/>
              </w:rPr>
            </w:pPr>
            <w:r>
              <w:rPr>
                <w:rFonts w:ascii="Arial" w:cs="Arial" w:eastAsia="Arial" w:hAnsi="Arial"/>
                <w:sz w:val="14"/>
                <w:szCs w:val="14"/>
                <w:color w:val="auto"/>
              </w:rPr>
              <w:t>Financial liabilities:</w:t>
            </w:r>
          </w:p>
        </w:tc>
        <w:tc>
          <w:tcPr>
            <w:tcW w:w="7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Cash settled stock appreciation rights</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00"/>
              <w:spacing w:after="0"/>
              <w:rPr>
                <w:sz w:val="20"/>
                <w:szCs w:val="20"/>
                <w:color w:val="auto"/>
              </w:rPr>
            </w:pPr>
            <w:r>
              <w:rPr>
                <w:rFonts w:ascii="Arial" w:cs="Arial" w:eastAsia="Arial" w:hAnsi="Arial"/>
                <w:sz w:val="14"/>
                <w:szCs w:val="14"/>
                <w:color w:val="auto"/>
              </w:rPr>
              <w:t>791</w:t>
            </w: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3"/>
        </w:trPr>
        <w:tc>
          <w:tcPr>
            <w:tcW w:w="5500" w:type="dxa"/>
            <w:vAlign w:val="bottom"/>
            <w:shd w:val="clear" w:color="auto" w:fill="DDDDDD"/>
          </w:tcPr>
          <w:p>
            <w:pPr>
              <w:spacing w:after="0"/>
              <w:rPr>
                <w:sz w:val="20"/>
                <w:szCs w:val="20"/>
                <w:color w:val="auto"/>
              </w:rPr>
            </w:pPr>
            <w:r>
              <w:rPr>
                <w:rFonts w:ascii="Arial" w:cs="Arial" w:eastAsia="Arial" w:hAnsi="Arial"/>
                <w:sz w:val="14"/>
                <w:szCs w:val="14"/>
                <w:color w:val="auto"/>
              </w:rPr>
              <w:t>Total financial liabilities</w:t>
            </w:r>
          </w:p>
        </w:tc>
        <w:tc>
          <w:tcPr>
            <w:tcW w:w="92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DDDDD"/>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DDDDDD"/>
          </w:tcPr>
          <w:p>
            <w:pPr>
              <w:ind w:left="800"/>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DDDDDD"/>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DDDDDD"/>
          </w:tcPr>
          <w:p>
            <w:pPr>
              <w:jc w:val="right"/>
              <w:ind w:right="500"/>
              <w:spacing w:after="0"/>
              <w:rPr>
                <w:sz w:val="20"/>
                <w:szCs w:val="20"/>
                <w:color w:val="auto"/>
              </w:rPr>
            </w:pPr>
            <w:r>
              <w:rPr>
                <w:rFonts w:ascii="Arial" w:cs="Arial" w:eastAsia="Arial" w:hAnsi="Arial"/>
                <w:sz w:val="14"/>
                <w:szCs w:val="14"/>
                <w:color w:val="auto"/>
              </w:rPr>
              <w:t>791</w:t>
            </w: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Warrants issued for the Company’s redeemable convertible preferred stock are subject to remeasurement at each balance sheet date and any change in fair value is recognized as a component of other income (expense), net. The Company adjusts the liability for changes in fair value until the earlier of the exercise or expiration of the warrants or the completion of a liquidation event, including the closing of a qualifying initial public offering, at which time all redeemable convertible preferred stock warrants would be converted into warrants to purchase common stock and, accordingly, the liability would be reclassified to stockholders’ deficit.</w:t>
      </w:r>
    </w:p>
    <w:p>
      <w:pPr>
        <w:spacing w:after="0" w:line="20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Company measures the redeemable convertible preferred stock warrants using Level 3 unobservable inputs within the Black-Scholes option-pricing model. The Company used various key assumptions, such as the fair value of redeemable convertible preferred stock, volatility, the risk-free interest rate, and expected term (remaining contractual term of the warrants). The Company monitors the fair value of the redeemable convertible preferred stock warrants annually, with subsequent gains and losses from remeasurement of Level 3 financial liabilities recorded through other income (expense), net in the consolidated statements of operations. Generally, increases (decreases) in the fair value of the underlying stock and estimated term would result in a directionally similar impact to the fair value measurement.</w:t>
      </w:r>
    </w:p>
    <w:p>
      <w:pPr>
        <w:spacing w:after="0" w:line="20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See Note 2 “Summary of Significant Accounting Policies—Stock-Based Compensation” for the valuation methodology and inputs used to measure the fair value of the stock appreciation rights.</w:t>
      </w:r>
    </w:p>
    <w:p>
      <w:pPr>
        <w:spacing w:after="0" w:line="19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January 2010, the Company issued warrants to purchase up to 1,562,689 shares of the Company’s Series A-1 redeemable convertible preferred stock at an exercise price of $0.196 per share. The initial term of the warrant was five years from the issuance of Series A-1, which occurred in September 2011, and had an automatic extension for an additional five years if the Company was not public by the original expiration date. Prior to the years ended December 31, 2019 and 2020, 1,550,094 of the warrants had been exercised. As of December 31, 2019, and 2020, 12,595 warrants remained outstanding and were carried at fair value in the other liabilities and the accrued expenses caption and other current liabilities caption, respectively, on the consolidated balance sheets.</w:t>
      </w:r>
    </w:p>
    <w:p>
      <w:pPr>
        <w:spacing w:after="0" w:line="20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remaining outstanding 12,595 warrants were exercised on January 20, 2021 for an immaterial amount of cash proceeds, at which time the Company reclassified the $0.2 million (unaudited) fair value of the warrants into Series A-1 redeemable convertible preferred stock on the consolidated balance sheet. The change in fair value of the warrants between December 31, 2020 and the exercise date was immaterial (unaudited).</w:t>
      </w:r>
    </w:p>
    <w:p>
      <w:pPr>
        <w:spacing w:after="0" w:line="205" w:lineRule="exact"/>
        <w:rPr>
          <w:sz w:val="20"/>
          <w:szCs w:val="20"/>
          <w:color w:val="auto"/>
        </w:rPr>
      </w:pPr>
    </w:p>
    <w:p>
      <w:pPr>
        <w:ind w:left="120" w:right="540"/>
        <w:spacing w:after="0" w:line="274" w:lineRule="auto"/>
        <w:rPr>
          <w:sz w:val="20"/>
          <w:szCs w:val="20"/>
          <w:color w:val="auto"/>
        </w:rPr>
      </w:pPr>
      <w:r>
        <w:rPr>
          <w:rFonts w:ascii="Arial" w:cs="Arial" w:eastAsia="Arial" w:hAnsi="Arial"/>
          <w:sz w:val="17"/>
          <w:szCs w:val="17"/>
          <w:color w:val="auto"/>
        </w:rPr>
        <w:t>A summary of the changes in the fair value of Level 3 financial instruments, of which changes in warrant fair value and vesting and remeasurement of stock appreciation rights are recognized in the consolidated statement of operations, is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Warrants</w:t>
            </w:r>
          </w:p>
        </w:tc>
        <w:tc>
          <w:tcPr>
            <w:tcW w:w="14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SARs</w:t>
            </w:r>
          </w:p>
        </w:tc>
        <w:tc>
          <w:tcPr>
            <w:tcW w:w="32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DDDDDD"/>
            </w:tcBorders>
          </w:tcPr>
          <w:p>
            <w:pPr>
              <w:spacing w:after="0"/>
              <w:rPr>
                <w:sz w:val="15"/>
                <w:szCs w:val="15"/>
                <w:color w:val="auto"/>
              </w:rPr>
            </w:pPr>
          </w:p>
        </w:tc>
      </w:tr>
      <w:tr>
        <w:trPr>
          <w:trHeight w:val="196"/>
        </w:trPr>
        <w:tc>
          <w:tcPr>
            <w:tcW w:w="6820" w:type="dxa"/>
            <w:vAlign w:val="bottom"/>
            <w:shd w:val="clear" w:color="auto" w:fill="DDDDDD"/>
          </w:tcPr>
          <w:p>
            <w:pPr>
              <w:spacing w:after="0"/>
              <w:rPr>
                <w:sz w:val="20"/>
                <w:szCs w:val="20"/>
                <w:color w:val="auto"/>
              </w:rPr>
            </w:pPr>
            <w:r>
              <w:rPr>
                <w:rFonts w:ascii="Arial" w:cs="Arial" w:eastAsia="Arial" w:hAnsi="Arial"/>
                <w:sz w:val="14"/>
                <w:szCs w:val="14"/>
                <w:color w:val="auto"/>
              </w:rPr>
              <w:t>Balance—January 1, 2019</w:t>
            </w:r>
          </w:p>
        </w:tc>
        <w:tc>
          <w:tcPr>
            <w:tcW w:w="2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DDDDDD"/>
          </w:tcPr>
          <w:p>
            <w:pPr>
              <w:spacing w:after="0"/>
              <w:rPr>
                <w:sz w:val="17"/>
                <w:szCs w:val="17"/>
                <w:color w:val="auto"/>
              </w:rPr>
            </w:pPr>
          </w:p>
        </w:tc>
        <w:tc>
          <w:tcPr>
            <w:tcW w:w="30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50</w:t>
            </w:r>
          </w:p>
        </w:tc>
      </w:tr>
      <w:tr>
        <w:trPr>
          <w:trHeight w:val="162"/>
        </w:trPr>
        <w:tc>
          <w:tcPr>
            <w:tcW w:w="6820" w:type="dxa"/>
            <w:vAlign w:val="bottom"/>
          </w:tcPr>
          <w:p>
            <w:pPr>
              <w:ind w:left="260"/>
              <w:spacing w:after="0"/>
              <w:rPr>
                <w:sz w:val="20"/>
                <w:szCs w:val="20"/>
                <w:color w:val="auto"/>
              </w:rPr>
            </w:pPr>
            <w:r>
              <w:rPr>
                <w:rFonts w:ascii="Arial" w:cs="Arial" w:eastAsia="Arial" w:hAnsi="Arial"/>
                <w:sz w:val="14"/>
                <w:szCs w:val="14"/>
                <w:color w:val="auto"/>
              </w:rPr>
              <w:t>Change in fair value of redeemable convertible preferred stock warrants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58</w:t>
            </w:r>
          </w:p>
        </w:tc>
      </w:tr>
      <w:tr>
        <w:trPr>
          <w:trHeight w:val="210"/>
        </w:trPr>
        <w:tc>
          <w:tcPr>
            <w:tcW w:w="68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Vesting and remeasurement of stock appreciation rights</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20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36</w:t>
            </w:r>
          </w:p>
        </w:tc>
        <w:tc>
          <w:tcPr>
            <w:tcW w:w="24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36</w:t>
            </w:r>
          </w:p>
        </w:tc>
      </w:tr>
      <w:tr>
        <w:trPr>
          <w:trHeight w:val="223"/>
        </w:trPr>
        <w:tc>
          <w:tcPr>
            <w:tcW w:w="6820" w:type="dxa"/>
            <w:vAlign w:val="bottom"/>
          </w:tcPr>
          <w:p>
            <w:pPr>
              <w:spacing w:after="0"/>
              <w:rPr>
                <w:sz w:val="20"/>
                <w:szCs w:val="20"/>
                <w:color w:val="auto"/>
              </w:rPr>
            </w:pPr>
            <w:r>
              <w:rPr>
                <w:rFonts w:ascii="Arial" w:cs="Arial" w:eastAsia="Arial" w:hAnsi="Arial"/>
                <w:sz w:val="14"/>
                <w:szCs w:val="14"/>
                <w:color w:val="auto"/>
              </w:rPr>
              <w:t>Balance—December 31, 2019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820" w:type="dxa"/>
            <w:vAlign w:val="bottom"/>
            <w:shd w:val="clear" w:color="auto" w:fill="DDDDDD"/>
          </w:tcPr>
          <w:p>
            <w:pPr>
              <w:spacing w:after="0"/>
              <w:rPr>
                <w:sz w:val="20"/>
                <w:szCs w:val="20"/>
                <w:color w:val="auto"/>
              </w:rPr>
            </w:pPr>
            <w:r>
              <w:rPr>
                <w:rFonts w:ascii="Arial" w:cs="Arial" w:eastAsia="Arial" w:hAnsi="Arial"/>
                <w:sz w:val="14"/>
                <w:szCs w:val="14"/>
                <w:color w:val="auto"/>
              </w:rPr>
              <w:t>Change in fair value of redeemable convertible preferred stock warrants</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20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7"/>
                <w:szCs w:val="17"/>
                <w:color w:val="auto"/>
              </w:rPr>
            </w:pPr>
          </w:p>
        </w:tc>
        <w:tc>
          <w:tcPr>
            <w:tcW w:w="11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52</w:t>
            </w:r>
          </w:p>
        </w:tc>
      </w:tr>
      <w:tr>
        <w:trPr>
          <w:trHeight w:val="162"/>
        </w:trPr>
        <w:tc>
          <w:tcPr>
            <w:tcW w:w="6820" w:type="dxa"/>
            <w:vAlign w:val="bottom"/>
          </w:tcPr>
          <w:p>
            <w:pPr>
              <w:ind w:left="260"/>
              <w:spacing w:after="0"/>
              <w:rPr>
                <w:sz w:val="20"/>
                <w:szCs w:val="20"/>
                <w:color w:val="auto"/>
              </w:rPr>
            </w:pPr>
            <w:r>
              <w:rPr>
                <w:rFonts w:ascii="Arial" w:cs="Arial" w:eastAsia="Arial" w:hAnsi="Arial"/>
                <w:sz w:val="14"/>
                <w:szCs w:val="14"/>
                <w:color w:val="auto"/>
              </w:rPr>
              <w:t>Vesting and remeasurement of stock appreciation rights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232</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232</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6820" w:type="dxa"/>
            <w:vAlign w:val="bottom"/>
            <w:shd w:val="clear" w:color="auto" w:fill="DDDDDD"/>
          </w:tcPr>
          <w:p>
            <w:pPr>
              <w:spacing w:after="0"/>
              <w:rPr>
                <w:sz w:val="20"/>
                <w:szCs w:val="20"/>
                <w:color w:val="auto"/>
              </w:rPr>
            </w:pPr>
            <w:r>
              <w:rPr>
                <w:rFonts w:ascii="Arial" w:cs="Arial" w:eastAsia="Arial" w:hAnsi="Arial"/>
                <w:sz w:val="14"/>
                <w:szCs w:val="14"/>
                <w:color w:val="auto"/>
              </w:rPr>
              <w:t>Balance—December 31, 2020</w:t>
            </w:r>
          </w:p>
        </w:tc>
        <w:tc>
          <w:tcPr>
            <w:tcW w:w="100" w:type="dxa"/>
            <w:vAlign w:val="bottom"/>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268</w:t>
            </w:r>
          </w:p>
        </w:tc>
        <w:tc>
          <w:tcPr>
            <w:tcW w:w="320" w:type="dxa"/>
            <w:vAlign w:val="bottom"/>
            <w:shd w:val="clear" w:color="auto" w:fill="DDDDDD"/>
          </w:tcPr>
          <w:p>
            <w:pPr>
              <w:spacing w:after="0"/>
              <w:rPr>
                <w:sz w:val="17"/>
                <w:szCs w:val="17"/>
                <w:color w:val="auto"/>
              </w:rPr>
            </w:pPr>
          </w:p>
        </w:tc>
        <w:tc>
          <w:tcPr>
            <w:tcW w:w="24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428</w:t>
            </w:r>
          </w:p>
        </w:tc>
        <w:tc>
          <w:tcPr>
            <w:tcW w:w="220" w:type="dxa"/>
            <w:vAlign w:val="bottom"/>
            <w:shd w:val="clear" w:color="auto" w:fill="DDDDDD"/>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20" w:type="dxa"/>
            <w:vAlign w:val="bottom"/>
          </w:tcPr>
          <w:p>
            <w:pPr>
              <w:ind w:left="260"/>
              <w:spacing w:after="0" w:line="156" w:lineRule="exact"/>
              <w:rPr>
                <w:sz w:val="20"/>
                <w:szCs w:val="20"/>
                <w:color w:val="auto"/>
              </w:rPr>
            </w:pPr>
            <w:r>
              <w:rPr>
                <w:rFonts w:ascii="Arial" w:cs="Arial" w:eastAsia="Arial" w:hAnsi="Arial"/>
                <w:sz w:val="14"/>
                <w:szCs w:val="14"/>
                <w:color w:val="auto"/>
              </w:rPr>
              <w:t>Exercise of redeemable convertible preferred stock warrants (unaudited)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right"/>
              <w:ind w:right="32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(160)</w:t>
            </w:r>
          </w:p>
        </w:tc>
      </w:tr>
      <w:tr>
        <w:trPr>
          <w:trHeight w:val="210"/>
        </w:trPr>
        <w:tc>
          <w:tcPr>
            <w:tcW w:w="68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Vesting and remeasurement of stock appreciation rights (unaudited)</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20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523</w:t>
            </w:r>
          </w:p>
        </w:tc>
        <w:tc>
          <w:tcPr>
            <w:tcW w:w="24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523</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4"/>
                <w:szCs w:val="14"/>
                <w:color w:val="auto"/>
              </w:rPr>
              <w:t>Balance—June 30, 2021 (unaudited)</w:t>
            </w:r>
          </w:p>
        </w:tc>
        <w:tc>
          <w:tcPr>
            <w:tcW w:w="1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791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791</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Redeemable Convertible Preferred Stock</w:t>
      </w:r>
      <w:r>
        <w:rPr>
          <w:rFonts w:ascii="Arial" w:cs="Arial" w:eastAsia="Arial" w:hAnsi="Arial"/>
          <w:sz w:val="18"/>
          <w:szCs w:val="18"/>
          <w:color w:val="auto"/>
        </w:rPr>
        <w:t>—The redeemable convertible preferred stock issued by the Company provides the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certain rights regarding events that are outside the control of the Company. This includes the right to redeem the preferred stock upon a specified passage of time or upon the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occurrence of certain deemed liquidation events where the holders of the preferred stock are entitled to receive cash or other assets. As such, the redeemable convertible preferred stock is classified as mezzanine (or temporary) equity as it contains terms that could force the Company to redeem the shares for cash or other assets upon the occurrence of an event not solely within the Company’s control. The Company’s series of redeemable convertible preferred stock represent equity instruments in legal form, are not mandatorily redeemable financial instruments, and do not constitute unconditional obligations that may require issuance of a variable number of the Company’s shares. Furthermore, since the series of redeemable convertible preferred stock are neither currently redeemable nor probable of becoming redeemable, no subsequent remeasurement of the amounts presented outside of stockholders’ deficit is required.</w:t>
      </w:r>
    </w:p>
    <w:p>
      <w:pPr>
        <w:spacing w:after="0" w:line="181"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Recently Adopted Accounting Pronouncements</w:t>
      </w:r>
      <w:r>
        <w:rPr>
          <w:rFonts w:ascii="Arial" w:cs="Arial" w:eastAsia="Arial" w:hAnsi="Arial"/>
          <w:sz w:val="18"/>
          <w:szCs w:val="18"/>
          <w:color w:val="auto"/>
        </w:rPr>
        <w:t>—In May 2014, the FASB issued ASU No. 2014-09,</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amending revenue recognition guidance and requiring more detailed disclosures to enable users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nature, amount, timing, and uncertainty of revenue and cash flows arising from contracts with customers. The Company adopted ASC 606 on January 1, 2019, by applying the modified retrospective approach to all contracts that were not completed as of January 1, 2019. The Company applied the practical expedient in Topic 606 and did not evaluate contracts of one year or less for the existence of a significant financing component. The Company recorded an increase in total assets of $6.7 million and a reduction of accumulated deficit of $6.7 million as of January 1, 2019, which is attributed to the deferral of sales commission costs.</w:t>
      </w:r>
    </w:p>
    <w:p>
      <w:pPr>
        <w:spacing w:after="0" w:line="18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The standard requires that the statements of cash flows explain the change during the period in the total of cash, cash equivalents, and amounts generally described as restricted cash or restricted cash equivalents. The Company adopted the ASU on January 1, 2019. As a result of adopting the ASU, the Company includes restricted cash with cash and cash equivalents when reconciling the beginning-of-period and end-of-period total amounts presented on the statements of consolidated cash flows.</w:t>
      </w:r>
    </w:p>
    <w:p>
      <w:pPr>
        <w:spacing w:after="0" w:line="18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clarifies, corrects errors in and makes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This ASU is effective for the Company for its fiscal year ended December 31, 2020. The Company adopted the ASU on January 1, 2020. The adoption of this ASU did not have a material impact on the Company’s consolidated financial statements.</w:t>
      </w:r>
    </w:p>
    <w:p>
      <w:pPr>
        <w:spacing w:after="0" w:line="18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updated guidance simplifies the accounting for non-employee share-based payment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in the new guidance specify that Topic 718 applies to all share-based payment transactions in which a grantor acquires goods or services to be used or consumed in a grantor’s own operations by issuing share-based payment awards. This ASU is effective for the Company for its fiscal year ended December 31, 2021, with early adoption permitted. The Company early-adopted the ASU on January 1, 2020. The Company was required to remeasure any liability-classified nonemployee awards that have not been settled as of the adoption date through a cumulative-effect adjustment to retained earnings as of the beginning of the fiscal year of adoption. The adoption of this ASU did not have a material impact on the consolidated financial statements.</w:t>
      </w:r>
    </w:p>
    <w:p>
      <w:pPr>
        <w:spacing w:after="0" w:line="187" w:lineRule="exact"/>
        <w:rPr>
          <w:sz w:val="20"/>
          <w:szCs w:val="20"/>
          <w:color w:val="auto"/>
        </w:rPr>
      </w:pPr>
    </w:p>
    <w:p>
      <w:pPr>
        <w:ind w:left="120" w:right="220"/>
        <w:spacing w:after="0" w:line="26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(Topic 820)</w:t>
      </w:r>
      <w:r>
        <w:rPr>
          <w:rFonts w:ascii="Arial" w:cs="Arial" w:eastAsia="Arial" w:hAnsi="Arial"/>
          <w:sz w:val="17"/>
          <w:szCs w:val="17"/>
          <w:color w:val="auto"/>
        </w:rPr>
        <w:t>. ASU 2018-13 modifies the disclosure requirements for fair value measurements by removing, modifying, or</w:t>
      </w:r>
      <w:r>
        <w:rPr>
          <w:rFonts w:ascii="Arial" w:cs="Arial" w:eastAsia="Arial" w:hAnsi="Arial"/>
          <w:sz w:val="17"/>
          <w:szCs w:val="17"/>
          <w:i w:val="1"/>
          <w:iCs w:val="1"/>
          <w:color w:val="auto"/>
        </w:rPr>
        <w:t xml:space="preserve"> </w:t>
      </w:r>
      <w:r>
        <w:rPr>
          <w:rFonts w:ascii="Arial" w:cs="Arial" w:eastAsia="Arial" w:hAnsi="Arial"/>
          <w:sz w:val="17"/>
          <w:szCs w:val="17"/>
          <w:color w:val="auto"/>
        </w:rPr>
        <w:t>adding certain disclosures. The ASU is effective for the Company beginning in its fiscal year ending December 31, 2020. The Company adopted the ASU on January 1, 2020. The adoption of this ASU did not have a material impact on the consolidated financial statements.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New Accounting Pronouncements Not Yet Adopted</w:t>
      </w:r>
      <w:r>
        <w:rPr>
          <w:rFonts w:ascii="Arial" w:cs="Arial" w:eastAsia="Arial" w:hAnsi="Arial"/>
          <w:sz w:val="18"/>
          <w:szCs w:val="18"/>
          <w:color w:val="auto"/>
        </w:rPr>
        <w:t>—The Company is an emerging growth company (“EGC”), as defined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Jumpstart Our Business Startups Act of 2012 (the “JOBS Act”). Under the JOBS Act, EGCs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8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 June 2020, the FASB issued ASU No. 2020-05 in 2020, </w:t>
      </w:r>
      <w:r>
        <w:rPr>
          <w:rFonts w:ascii="Arial" w:cs="Arial" w:eastAsia="Arial" w:hAnsi="Arial"/>
          <w:sz w:val="18"/>
          <w:szCs w:val="18"/>
          <w:i w:val="1"/>
          <w:iCs w:val="1"/>
          <w:color w:val="auto"/>
        </w:rPr>
        <w:t>Effective Dates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w:t>
      </w:r>
      <w:r>
        <w:rPr>
          <w:rFonts w:ascii="Arial" w:cs="Arial" w:eastAsia="Arial" w:hAnsi="Arial"/>
          <w:sz w:val="18"/>
          <w:szCs w:val="18"/>
          <w:color w:val="auto"/>
        </w:rPr>
        <w:t>which deferred the effective date for nonpublic entities, including EGCs, that had not yet adopted the original ASU.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the leasing standard will be effective for the Company’s fiscal year beginning after December 15, 2021, and early adoption is still permitted. The Company is currently assessing whether these amendments will have a material effect on its consolidated financial statements.</w:t>
      </w:r>
    </w:p>
    <w:p>
      <w:pPr>
        <w:spacing w:after="0" w:line="186"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replaces the existing incurred loss impairment model with an expected credit loss model and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 measured at amortized cost to be presented at the net amount expected to be collected. The FASB issued ASU 2019-10 in November 2019, which established an effective date for the Company, given its status as an EGC, during its fiscal year ending December 31, 2023, with early adoption permitted. The Company is currently assessing whether these amendments will have a material effect on its consolidated financial statements.</w:t>
      </w:r>
    </w:p>
    <w:p>
      <w:pPr>
        <w:spacing w:after="0" w:line="18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requires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December 31, 2021. The Company is currently assessing the potential impact of the new standard on the Company’s consolidated financial statements.</w:t>
      </w:r>
    </w:p>
    <w:p>
      <w:pPr>
        <w:spacing w:after="0" w:line="185" w:lineRule="exact"/>
        <w:rPr>
          <w:sz w:val="20"/>
          <w:szCs w:val="20"/>
          <w:color w:val="auto"/>
        </w:rPr>
      </w:pPr>
    </w:p>
    <w:p>
      <w:pPr>
        <w:ind w:left="120" w:right="120"/>
        <w:spacing w:after="0" w:line="26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removing certain exceptions to the general principles of income taxes and reducing the cost and complexity in accounting for income taxes. The ASU is effective for the company beginning in its fiscal year ending December 31, 2022. The Company is currently assessing the potential impact of the new standard on the Company’s consolidated financial statements.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Prepaid expenses and other current assets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55"/>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16"/>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Prepaid expenses</w:t>
            </w:r>
          </w:p>
        </w:tc>
        <w:tc>
          <w:tcPr>
            <w:tcW w:w="100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2,617</w:t>
            </w:r>
          </w:p>
        </w:tc>
        <w:tc>
          <w:tcPr>
            <w:tcW w:w="42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4,904</w:t>
            </w:r>
          </w:p>
        </w:tc>
        <w:tc>
          <w:tcPr>
            <w:tcW w:w="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5,865</w:t>
            </w:r>
          </w:p>
        </w:tc>
      </w:tr>
      <w:tr>
        <w:trPr>
          <w:trHeight w:val="210"/>
        </w:trPr>
        <w:tc>
          <w:tcPr>
            <w:tcW w:w="6160" w:type="dxa"/>
            <w:vAlign w:val="bottom"/>
          </w:tcPr>
          <w:p>
            <w:pPr>
              <w:spacing w:after="0"/>
              <w:rPr>
                <w:sz w:val="20"/>
                <w:szCs w:val="20"/>
                <w:color w:val="auto"/>
              </w:rPr>
            </w:pPr>
            <w:r>
              <w:rPr>
                <w:rFonts w:ascii="Arial" w:cs="Arial" w:eastAsia="Arial" w:hAnsi="Arial"/>
                <w:sz w:val="14"/>
                <w:szCs w:val="14"/>
                <w:color w:val="auto"/>
              </w:rPr>
              <w:t>Deferred offering costs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2,216</w:t>
            </w:r>
          </w:p>
        </w:tc>
      </w:tr>
      <w:tr>
        <w:trPr>
          <w:trHeight w:val="222"/>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Short term deposits</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295</w:t>
            </w:r>
          </w:p>
        </w:tc>
        <w:tc>
          <w:tcPr>
            <w:tcW w:w="42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DDDDD"/>
          </w:tcPr>
          <w:p>
            <w:pPr>
              <w:spacing w:after="0"/>
              <w:rPr>
                <w:sz w:val="19"/>
                <w:szCs w:val="19"/>
                <w:color w:val="auto"/>
              </w:rPr>
            </w:pP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1,154</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714</w:t>
            </w:r>
          </w:p>
        </w:tc>
        <w:tc>
          <w:tcPr>
            <w:tcW w:w="4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1,132</w:t>
            </w:r>
          </w:p>
        </w:tc>
        <w:tc>
          <w:tcPr>
            <w:tcW w:w="1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3,557</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3,626</w:t>
            </w:r>
          </w:p>
        </w:tc>
        <w:tc>
          <w:tcPr>
            <w:tcW w:w="42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6,036</w:t>
            </w:r>
          </w:p>
        </w:tc>
        <w:tc>
          <w:tcPr>
            <w:tcW w:w="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12,792</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Property and equipment, net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55"/>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16"/>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Computers and equipment</w:t>
            </w:r>
          </w:p>
        </w:tc>
        <w:tc>
          <w:tcPr>
            <w:tcW w:w="920" w:type="dxa"/>
            <w:vAlign w:val="bottom"/>
            <w:gridSpan w:val="2"/>
            <w:shd w:val="clear" w:color="auto" w:fill="DDDDDD"/>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5,408</w:t>
            </w:r>
          </w:p>
        </w:tc>
        <w:tc>
          <w:tcPr>
            <w:tcW w:w="220" w:type="dxa"/>
            <w:vAlign w:val="bottom"/>
            <w:shd w:val="clear" w:color="auto" w:fill="DDDDDD"/>
          </w:tcPr>
          <w:p>
            <w:pPr>
              <w:spacing w:after="0"/>
              <w:rPr>
                <w:sz w:val="18"/>
                <w:szCs w:val="18"/>
                <w:color w:val="auto"/>
              </w:rPr>
            </w:pPr>
          </w:p>
        </w:tc>
        <w:tc>
          <w:tcPr>
            <w:tcW w:w="42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6,171</w:t>
            </w:r>
          </w:p>
        </w:tc>
        <w:tc>
          <w:tcPr>
            <w:tcW w:w="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6,716</w:t>
            </w:r>
          </w:p>
        </w:tc>
      </w:tr>
      <w:tr>
        <w:trPr>
          <w:trHeight w:val="189"/>
        </w:trPr>
        <w:tc>
          <w:tcPr>
            <w:tcW w:w="6160" w:type="dxa"/>
            <w:vAlign w:val="bottom"/>
          </w:tcPr>
          <w:p>
            <w:pPr>
              <w:spacing w:after="0"/>
              <w:rPr>
                <w:sz w:val="20"/>
                <w:szCs w:val="20"/>
                <w:color w:val="auto"/>
              </w:rPr>
            </w:pPr>
            <w:r>
              <w:rPr>
                <w:rFonts w:ascii="Arial" w:cs="Arial" w:eastAsia="Arial" w:hAnsi="Arial"/>
                <w:sz w:val="14"/>
                <w:szCs w:val="14"/>
                <w:color w:val="auto"/>
              </w:rPr>
              <w:t>Furniture and fixtures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2,975</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4,181</w:t>
            </w:r>
          </w:p>
        </w:tc>
        <w:tc>
          <w:tcPr>
            <w:tcW w:w="18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4,324</w:t>
            </w:r>
          </w:p>
        </w:tc>
      </w:tr>
      <w:tr>
        <w:trPr>
          <w:trHeight w:val="216"/>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Purchased software</w:t>
            </w:r>
          </w:p>
        </w:tc>
        <w:tc>
          <w:tcPr>
            <w:tcW w:w="10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280</w:t>
            </w:r>
          </w:p>
        </w:tc>
        <w:tc>
          <w:tcPr>
            <w:tcW w:w="180" w:type="dxa"/>
            <w:vAlign w:val="bottom"/>
            <w:shd w:val="clear" w:color="auto" w:fill="DDDDDD"/>
          </w:tcPr>
          <w:p>
            <w:pPr>
              <w:spacing w:after="0"/>
              <w:rPr>
                <w:sz w:val="18"/>
                <w:szCs w:val="18"/>
                <w:color w:val="auto"/>
              </w:rPr>
            </w:pP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296</w:t>
            </w:r>
          </w:p>
        </w:tc>
      </w:tr>
      <w:tr>
        <w:trPr>
          <w:trHeight w:val="189"/>
        </w:trPr>
        <w:tc>
          <w:tcPr>
            <w:tcW w:w="616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11,519</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15,164</w:t>
            </w:r>
          </w:p>
        </w:tc>
        <w:tc>
          <w:tcPr>
            <w:tcW w:w="18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15,492</w:t>
            </w:r>
          </w:p>
        </w:tc>
      </w:tr>
      <w:tr>
        <w:trPr>
          <w:trHeight w:val="210"/>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Construction in progress</w:t>
            </w:r>
          </w:p>
        </w:tc>
        <w:tc>
          <w:tcPr>
            <w:tcW w:w="10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1,438</w:t>
            </w:r>
          </w:p>
        </w:tc>
        <w:tc>
          <w:tcPr>
            <w:tcW w:w="22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DDDDDD"/>
          </w:tcPr>
          <w:p>
            <w:pPr>
              <w:spacing w:after="0"/>
              <w:rPr>
                <w:sz w:val="18"/>
                <w:szCs w:val="18"/>
                <w:color w:val="auto"/>
              </w:rPr>
            </w:pP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2,817</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6160" w:type="dxa"/>
            <w:vAlign w:val="bottom"/>
          </w:tcPr>
          <w:p>
            <w:pPr>
              <w:ind w:left="260"/>
              <w:spacing w:after="0"/>
              <w:rPr>
                <w:sz w:val="20"/>
                <w:szCs w:val="20"/>
                <w:color w:val="auto"/>
              </w:rPr>
            </w:pPr>
            <w:r>
              <w:rPr>
                <w:rFonts w:ascii="Arial" w:cs="Arial" w:eastAsia="Arial" w:hAnsi="Arial"/>
                <w:sz w:val="14"/>
                <w:szCs w:val="14"/>
                <w:color w:val="auto"/>
              </w:rPr>
              <w:t>Total property and equipment</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21,545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25,812</w:t>
            </w:r>
          </w:p>
        </w:tc>
        <w:tc>
          <w:tcPr>
            <w:tcW w:w="18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29,645</w:t>
            </w:r>
          </w:p>
        </w:tc>
      </w:tr>
      <w:tr>
        <w:trPr>
          <w:trHeight w:val="210"/>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Less accumulated depreciation</w:t>
            </w:r>
          </w:p>
        </w:tc>
        <w:tc>
          <w:tcPr>
            <w:tcW w:w="10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7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(13,589)</w:t>
            </w:r>
          </w:p>
        </w:tc>
        <w:tc>
          <w:tcPr>
            <w:tcW w:w="4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(16,706)</w:t>
            </w:r>
          </w:p>
        </w:tc>
        <w:tc>
          <w:tcPr>
            <w:tcW w:w="180" w:type="dxa"/>
            <w:vAlign w:val="bottom"/>
            <w:shd w:val="clear" w:color="auto" w:fill="DDDDDD"/>
          </w:tcPr>
          <w:p>
            <w:pPr>
              <w:spacing w:after="0"/>
              <w:rPr>
                <w:sz w:val="18"/>
                <w:szCs w:val="18"/>
                <w:color w:val="auto"/>
              </w:rPr>
            </w:pPr>
          </w:p>
        </w:tc>
        <w:tc>
          <w:tcPr>
            <w:tcW w:w="14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(18,976)</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61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7,956</w:t>
            </w:r>
          </w:p>
        </w:tc>
        <w:tc>
          <w:tcPr>
            <w:tcW w:w="2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9,106</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10,669</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Depreciation expense was $3.8 million and $4.2 million for the years ended December 31, 2019 and 2020, respectively, and $1.9 million and $2.3 million for the six months ended June 30, 2020 and 2021 (unaudited), respectively.</w:t>
      </w:r>
    </w:p>
    <w:p>
      <w:pPr>
        <w:spacing w:after="0" w:line="192"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Capitalized software, net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Capitalized software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6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14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90"/>
        </w:trPr>
        <w:tc>
          <w:tcPr>
            <w:tcW w:w="6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Capitalized software</w:t>
            </w:r>
          </w:p>
        </w:tc>
        <w:tc>
          <w:tcPr>
            <w:tcW w:w="98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18,549</w:t>
            </w:r>
          </w:p>
        </w:tc>
        <w:tc>
          <w:tcPr>
            <w:tcW w:w="44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28,472</w:t>
            </w:r>
          </w:p>
        </w:tc>
        <w:tc>
          <w:tcPr>
            <w:tcW w:w="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36,125</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(7,748)</w:t>
            </w:r>
          </w:p>
        </w:tc>
        <w:tc>
          <w:tcPr>
            <w:tcW w:w="4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(14,459)</w:t>
            </w:r>
          </w:p>
        </w:tc>
        <w:tc>
          <w:tcPr>
            <w:tcW w:w="20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(18,646)</w:t>
            </w:r>
          </w:p>
        </w:tc>
      </w:tr>
      <w:tr>
        <w:trPr>
          <w:trHeight w:val="20"/>
        </w:trPr>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Capitalized software, net</w:t>
            </w:r>
          </w:p>
        </w:tc>
        <w:tc>
          <w:tcPr>
            <w:tcW w:w="98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10,801</w:t>
            </w:r>
          </w:p>
        </w:tc>
        <w:tc>
          <w:tcPr>
            <w:tcW w:w="44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14,013</w:t>
            </w:r>
          </w:p>
        </w:tc>
        <w:tc>
          <w:tcPr>
            <w:tcW w:w="20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17,479</w:t>
            </w:r>
          </w:p>
        </w:tc>
      </w:tr>
      <w:tr>
        <w:trPr>
          <w:trHeight w:val="20"/>
        </w:trPr>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F-24</w:t>
            </w: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Amortization expense of capitalized software was $4.9 million and $6.9 million for the years ended December 31, 2019 and 2020, and $3.2 million and $4.2 million for the six months ended June 30, 2020 and 2021 (unaudited), respectively. As of December 31, 2020, expected amortization expense over the remaining asset lives is as follows (in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360" w:type="dxa"/>
            <w:vAlign w:val="bottom"/>
            <w:shd w:val="clear" w:color="auto" w:fill="DDDDDD"/>
          </w:tcPr>
          <w:p>
            <w:pPr>
              <w:spacing w:after="0"/>
              <w:rPr>
                <w:sz w:val="20"/>
                <w:szCs w:val="20"/>
                <w:color w:val="auto"/>
              </w:rPr>
            </w:pPr>
            <w:r>
              <w:rPr>
                <w:rFonts w:ascii="Arial" w:cs="Arial" w:eastAsia="Arial" w:hAnsi="Arial"/>
                <w:sz w:val="14"/>
                <w:szCs w:val="14"/>
                <w:color w:val="auto"/>
              </w:rPr>
              <w:t>2021</w:t>
            </w:r>
          </w:p>
        </w:tc>
        <w:tc>
          <w:tcPr>
            <w:tcW w:w="580" w:type="dxa"/>
            <w:vAlign w:val="bottom"/>
            <w:gridSpan w:val="2"/>
            <w:shd w:val="clear" w:color="auto" w:fill="DDDDDD"/>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7,143</w:t>
            </w:r>
          </w:p>
        </w:tc>
        <w:tc>
          <w:tcPr>
            <w:tcW w:w="220" w:type="dxa"/>
            <w:vAlign w:val="bottom"/>
            <w:shd w:val="clear" w:color="auto" w:fill="DDDDDD"/>
          </w:tcPr>
          <w:p>
            <w:pPr>
              <w:spacing w:after="0"/>
              <w:rPr>
                <w:sz w:val="18"/>
                <w:szCs w:val="18"/>
                <w:color w:val="auto"/>
              </w:rPr>
            </w:pPr>
          </w:p>
        </w:tc>
      </w:tr>
      <w:tr>
        <w:trPr>
          <w:trHeight w:val="189"/>
        </w:trPr>
        <w:tc>
          <w:tcPr>
            <w:tcW w:w="9360" w:type="dxa"/>
            <w:vAlign w:val="bottom"/>
          </w:tcPr>
          <w:p>
            <w:pPr>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4,633</w:t>
            </w:r>
          </w:p>
        </w:tc>
        <w:tc>
          <w:tcPr>
            <w:tcW w:w="220" w:type="dxa"/>
            <w:vAlign w:val="bottom"/>
          </w:tcPr>
          <w:p>
            <w:pPr>
              <w:spacing w:after="0"/>
              <w:rPr>
                <w:sz w:val="16"/>
                <w:szCs w:val="16"/>
                <w:color w:val="auto"/>
              </w:rPr>
            </w:pPr>
          </w:p>
        </w:tc>
      </w:tr>
      <w:tr>
        <w:trPr>
          <w:trHeight w:val="210"/>
        </w:trPr>
        <w:tc>
          <w:tcPr>
            <w:tcW w:w="9360" w:type="dxa"/>
            <w:vAlign w:val="bottom"/>
            <w:shd w:val="clear" w:color="auto" w:fill="DDDDDD"/>
          </w:tcPr>
          <w:p>
            <w:pPr>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DDDDDD"/>
          </w:tcPr>
          <w:p>
            <w:pPr>
              <w:spacing w:after="0"/>
              <w:rPr>
                <w:sz w:val="18"/>
                <w:szCs w:val="18"/>
                <w:color w:val="auto"/>
              </w:rPr>
            </w:pPr>
          </w:p>
        </w:tc>
        <w:tc>
          <w:tcPr>
            <w:tcW w:w="480" w:type="dxa"/>
            <w:vAlign w:val="bottom"/>
            <w:tcBorders>
              <w:bottom w:val="single" w:sz="8" w:color="auto"/>
            </w:tcBorders>
            <w:shd w:val="clear" w:color="auto" w:fill="DDDDDD"/>
          </w:tcPr>
          <w:p>
            <w:pPr>
              <w:spacing w:after="0"/>
              <w:rPr>
                <w:sz w:val="18"/>
                <w:szCs w:val="18"/>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2,237</w:t>
            </w:r>
          </w:p>
        </w:tc>
        <w:tc>
          <w:tcPr>
            <w:tcW w:w="220" w:type="dxa"/>
            <w:vAlign w:val="bottom"/>
            <w:shd w:val="clear" w:color="auto" w:fill="DDDDDD"/>
          </w:tcPr>
          <w:p>
            <w:pPr>
              <w:spacing w:after="0"/>
              <w:rPr>
                <w:sz w:val="18"/>
                <w:szCs w:val="18"/>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4"/>
                <w:szCs w:val="14"/>
                <w:color w:val="auto"/>
              </w:rPr>
              <w:t>Total expected amortization</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14,013</w:t>
            </w:r>
          </w:p>
        </w:tc>
        <w:tc>
          <w:tcPr>
            <w:tcW w:w="2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(unaudited), expected amortization expense over the remaining asset lives is as follows (in thousands):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360" w:type="dxa"/>
            <w:vAlign w:val="bottom"/>
            <w:shd w:val="clear" w:color="auto" w:fill="DDDDDD"/>
          </w:tcPr>
          <w:p>
            <w:pPr>
              <w:spacing w:after="0"/>
              <w:rPr>
                <w:sz w:val="20"/>
                <w:szCs w:val="20"/>
                <w:color w:val="auto"/>
              </w:rPr>
            </w:pPr>
            <w:r>
              <w:rPr>
                <w:rFonts w:ascii="Arial" w:cs="Arial" w:eastAsia="Arial" w:hAnsi="Arial"/>
                <w:sz w:val="14"/>
                <w:szCs w:val="14"/>
                <w:color w:val="auto"/>
              </w:rPr>
              <w:t>Six months ending December 31, 2021</w:t>
            </w:r>
          </w:p>
        </w:tc>
        <w:tc>
          <w:tcPr>
            <w:tcW w:w="580" w:type="dxa"/>
            <w:vAlign w:val="bottom"/>
            <w:gridSpan w:val="2"/>
            <w:shd w:val="clear" w:color="auto" w:fill="DDDDDD"/>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4,541</w:t>
            </w:r>
          </w:p>
        </w:tc>
        <w:tc>
          <w:tcPr>
            <w:tcW w:w="220" w:type="dxa"/>
            <w:vAlign w:val="bottom"/>
            <w:shd w:val="clear" w:color="auto" w:fill="DDDDDD"/>
          </w:tcPr>
          <w:p>
            <w:pPr>
              <w:spacing w:after="0"/>
              <w:rPr>
                <w:sz w:val="19"/>
                <w:szCs w:val="19"/>
                <w:color w:val="auto"/>
              </w:rPr>
            </w:pPr>
          </w:p>
        </w:tc>
      </w:tr>
      <w:tr>
        <w:trPr>
          <w:trHeight w:val="189"/>
        </w:trPr>
        <w:tc>
          <w:tcPr>
            <w:tcW w:w="9360" w:type="dxa"/>
            <w:vAlign w:val="bottom"/>
          </w:tcPr>
          <w:p>
            <w:pPr>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7,184</w:t>
            </w:r>
          </w:p>
        </w:tc>
        <w:tc>
          <w:tcPr>
            <w:tcW w:w="220" w:type="dxa"/>
            <w:vAlign w:val="bottom"/>
          </w:tcPr>
          <w:p>
            <w:pPr>
              <w:spacing w:after="0"/>
              <w:rPr>
                <w:sz w:val="16"/>
                <w:szCs w:val="16"/>
                <w:color w:val="auto"/>
              </w:rPr>
            </w:pPr>
          </w:p>
        </w:tc>
      </w:tr>
      <w:tr>
        <w:trPr>
          <w:trHeight w:val="216"/>
        </w:trPr>
        <w:tc>
          <w:tcPr>
            <w:tcW w:w="9360" w:type="dxa"/>
            <w:vAlign w:val="bottom"/>
            <w:shd w:val="clear" w:color="auto" w:fill="DDDDDD"/>
          </w:tcPr>
          <w:p>
            <w:pPr>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4,788</w:t>
            </w:r>
          </w:p>
        </w:tc>
        <w:tc>
          <w:tcPr>
            <w:tcW w:w="220" w:type="dxa"/>
            <w:vAlign w:val="bottom"/>
            <w:shd w:val="clear" w:color="auto" w:fill="DDDDDD"/>
          </w:tcPr>
          <w:p>
            <w:pPr>
              <w:spacing w:after="0"/>
              <w:rPr>
                <w:sz w:val="18"/>
                <w:szCs w:val="18"/>
                <w:color w:val="auto"/>
              </w:rPr>
            </w:pPr>
          </w:p>
        </w:tc>
      </w:tr>
      <w:tr>
        <w:trPr>
          <w:trHeight w:val="189"/>
        </w:trPr>
        <w:tc>
          <w:tcPr>
            <w:tcW w:w="9360" w:type="dxa"/>
            <w:vAlign w:val="bottom"/>
          </w:tcPr>
          <w:p>
            <w:pPr>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220" w:type="dxa"/>
            <w:vAlign w:val="bottom"/>
          </w:tcPr>
          <w:p>
            <w:pPr>
              <w:spacing w:after="0"/>
              <w:rPr>
                <w:sz w:val="16"/>
                <w:szCs w:val="16"/>
                <w:color w:val="auto"/>
              </w:rPr>
            </w:pPr>
          </w:p>
        </w:tc>
      </w:tr>
      <w:tr>
        <w:trPr>
          <w:trHeight w:val="217"/>
        </w:trPr>
        <w:tc>
          <w:tcPr>
            <w:tcW w:w="9360" w:type="dxa"/>
            <w:vAlign w:val="bottom"/>
          </w:tcPr>
          <w:p>
            <w:pPr>
              <w:spacing w:after="0"/>
              <w:rPr>
                <w:sz w:val="20"/>
                <w:szCs w:val="20"/>
                <w:color w:val="auto"/>
              </w:rPr>
            </w:pPr>
            <w:r>
              <w:rPr>
                <w:rFonts w:ascii="Arial" w:cs="Arial" w:eastAsia="Arial" w:hAnsi="Arial"/>
                <w:sz w:val="14"/>
                <w:szCs w:val="14"/>
                <w:color w:val="auto"/>
              </w:rPr>
              <w:t>Total expected amortization</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17,479</w:t>
            </w:r>
          </w:p>
        </w:tc>
        <w:tc>
          <w:tcPr>
            <w:tcW w:w="2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Accrued expenses and other current liabilities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Accrued expenses</w:t>
            </w:r>
          </w:p>
        </w:tc>
        <w:tc>
          <w:tcPr>
            <w:tcW w:w="960" w:type="dxa"/>
            <w:vAlign w:val="bottom"/>
            <w:gridSpan w:val="2"/>
            <w:shd w:val="clear" w:color="auto" w:fill="DDDDDD"/>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8,070</w:t>
            </w:r>
          </w:p>
        </w:tc>
        <w:tc>
          <w:tcPr>
            <w:tcW w:w="22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6,796</w:t>
            </w:r>
          </w:p>
        </w:tc>
        <w:tc>
          <w:tcPr>
            <w:tcW w:w="18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7,446</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Deferred rent, current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597</w:t>
            </w:r>
          </w:p>
        </w:tc>
        <w:tc>
          <w:tcPr>
            <w:tcW w:w="1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661</w:t>
            </w:r>
          </w:p>
        </w:tc>
      </w:tr>
      <w:tr>
        <w:trPr>
          <w:trHeight w:val="216"/>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Indirect tax reserves</w:t>
            </w:r>
          </w:p>
        </w:tc>
        <w:tc>
          <w:tcPr>
            <w:tcW w:w="10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32,988</w:t>
            </w:r>
          </w:p>
        </w:tc>
        <w:tc>
          <w:tcPr>
            <w:tcW w:w="22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26,645</w:t>
            </w:r>
          </w:p>
        </w:tc>
        <w:tc>
          <w:tcPr>
            <w:tcW w:w="180" w:type="dxa"/>
            <w:vAlign w:val="bottom"/>
            <w:shd w:val="clear" w:color="auto" w:fill="DDDDDD"/>
          </w:tcPr>
          <w:p>
            <w:pPr>
              <w:spacing w:after="0"/>
              <w:rPr>
                <w:sz w:val="18"/>
                <w:szCs w:val="18"/>
                <w:color w:val="auto"/>
              </w:rPr>
            </w:pP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24,130</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Indirect tax payables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4,201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11,365</w:t>
            </w:r>
          </w:p>
        </w:tc>
        <w:tc>
          <w:tcPr>
            <w:tcW w:w="1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9,906</w:t>
            </w:r>
          </w:p>
        </w:tc>
      </w:tr>
      <w:tr>
        <w:trPr>
          <w:trHeight w:val="210"/>
        </w:trPr>
        <w:tc>
          <w:tcPr>
            <w:tcW w:w="6160" w:type="dxa"/>
            <w:vAlign w:val="bottom"/>
            <w:shd w:val="clear" w:color="auto" w:fill="DDDDDD"/>
          </w:tcPr>
          <w:p>
            <w:pPr>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488</w:t>
            </w:r>
          </w:p>
        </w:tc>
        <w:tc>
          <w:tcPr>
            <w:tcW w:w="22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right"/>
              <w:ind w:right="320"/>
              <w:spacing w:after="0"/>
              <w:rPr>
                <w:sz w:val="20"/>
                <w:szCs w:val="20"/>
                <w:color w:val="auto"/>
              </w:rPr>
            </w:pPr>
            <w:r>
              <w:rPr>
                <w:rFonts w:ascii="Arial" w:cs="Arial" w:eastAsia="Arial" w:hAnsi="Arial"/>
                <w:sz w:val="14"/>
                <w:szCs w:val="14"/>
                <w:color w:val="auto"/>
              </w:rPr>
              <w:t>1,375</w:t>
            </w:r>
          </w:p>
        </w:tc>
        <w:tc>
          <w:tcPr>
            <w:tcW w:w="180" w:type="dxa"/>
            <w:vAlign w:val="bottom"/>
            <w:shd w:val="clear" w:color="auto" w:fill="DDDDDD"/>
          </w:tcPr>
          <w:p>
            <w:pPr>
              <w:spacing w:after="0"/>
              <w:rPr>
                <w:sz w:val="18"/>
                <w:szCs w:val="18"/>
                <w:color w:val="auto"/>
              </w:rPr>
            </w:pPr>
          </w:p>
        </w:tc>
        <w:tc>
          <w:tcPr>
            <w:tcW w:w="140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1,235</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6160" w:type="dxa"/>
            <w:vAlign w:val="bottom"/>
          </w:tcPr>
          <w:p>
            <w:pPr>
              <w:spacing w:after="0"/>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5"/>
                <w:szCs w:val="15"/>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46,128</w:t>
            </w:r>
          </w:p>
        </w:tc>
        <w:tc>
          <w:tcPr>
            <w:tcW w:w="2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46,778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43,378</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Indirect tax payables relate to amounts collected from customers on behalf of third-party taxing authorities, primarily sales and use taxes owed on the Company’s sales in various U.S. state jurisdictions, and indirect taxes owed on sales outside of the U.S. Indirect tax payables also include withholding taxes on payments made to the Company’s instructors before remitting these amounts to the taxing authorities.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Indirect tax reserves primarily relate to Sales and other Indirect Tax Reserves and Instructor Withholding Tax Reserves.</w:t>
      </w:r>
    </w:p>
    <w:p>
      <w:pPr>
        <w:spacing w:after="0" w:line="190" w:lineRule="exact"/>
        <w:rPr>
          <w:sz w:val="20"/>
          <w:szCs w:val="20"/>
          <w:color w:val="auto"/>
        </w:rPr>
      </w:pPr>
    </w:p>
    <w:p>
      <w:pPr>
        <w:ind w:left="120" w:right="540"/>
        <w:spacing w:after="0" w:line="247" w:lineRule="auto"/>
        <w:rPr>
          <w:sz w:val="20"/>
          <w:szCs w:val="20"/>
          <w:color w:val="auto"/>
        </w:rPr>
      </w:pPr>
      <w:r>
        <w:rPr>
          <w:rFonts w:ascii="Arial" w:cs="Arial" w:eastAsia="Arial" w:hAnsi="Arial"/>
          <w:sz w:val="18"/>
          <w:szCs w:val="18"/>
          <w:b w:val="1"/>
          <w:bCs w:val="1"/>
          <w:i w:val="1"/>
          <w:iCs w:val="1"/>
          <w:color w:val="auto"/>
        </w:rPr>
        <w:t>Sales and other Indirect Tax Reserves</w:t>
      </w:r>
      <w:r>
        <w:rPr>
          <w:rFonts w:ascii="Arial" w:cs="Arial" w:eastAsia="Arial" w:hAnsi="Arial"/>
          <w:sz w:val="18"/>
          <w:szCs w:val="18"/>
          <w:color w:val="auto"/>
        </w:rPr>
        <w:t>—The Company determined that it was required to pay indirect tax in various domestic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jurisdictions for the periods prior to January 1, 2020. Accordingly, the Company recorded an outstanding liability of</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$11.0 million and $3.4 million as of December 31, 2019 and 2020, respectively, for estimated amounts not collected from customers. The change in the sales and other indirect tax reserves liability during the year ended December 31, 2019 consisted of $4.2 million of additional estimated tax reserves, including penalties and interest, which were recorded as general and administrative expenses in the accompanying consolidated statements of operations, offset by no payments made under voluntary disclosure agreements (“VDAs”) to the respective taxing authorities. The change in the sales and other indirect tax reserves liability during the year ended December 31, 2020 consisted of $0.7 million of additional estimated tax reserves, which were recorded as general and administrative expenses in the accompanying consolidated statements of operations, offset by $8.3 million of payments made under VDAs to the respective taxing authorities.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outstanding sales and other indirect tax reserves liability as of June 30, 2021 (unaudited) was $0.5 million. During the six months ended June 30, 2020 and 2021 (unaudited), the Company recorded $0.7 million and $(0.2) million, respectively, to general and administrative expenses in the accompanying consolidated statements of operations. The decrease in the reserve liability balance during the six months ended June 30, 2021 (unaudited) was due to $2.7 million in payments made under VDAs to the respective taxing authorities. No payments under VDAs were made during the six months ended June 30, 2020 (unaudited).</w:t>
      </w:r>
    </w:p>
    <w:p>
      <w:pPr>
        <w:spacing w:after="0" w:line="202"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color w:val="auto"/>
        </w:rPr>
        <w:t>The Company has continued the process of filing VDAs with certain jurisdictions and remitting the estimated indirect tax. If these jurisdictions determine that additional amounts are necessary, the Company will be required to pay accordingly.</w:t>
      </w:r>
    </w:p>
    <w:p>
      <w:pPr>
        <w:spacing w:after="0" w:line="175"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Instructor Withholding Tax Reserves</w:t>
      </w:r>
      <w:r>
        <w:rPr>
          <w:rFonts w:ascii="Arial" w:cs="Arial" w:eastAsia="Arial" w:hAnsi="Arial"/>
          <w:sz w:val="18"/>
          <w:szCs w:val="18"/>
          <w:color w:val="auto"/>
        </w:rPr>
        <w:t>—The Company conducts operations in many tax jurisdictions throughout the United States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rest of the world. The Company has an obligation to comply with information reporting and tax withholding requirements with regards to certain payments made to its U.S. and non-U.S. instructors. Under United States Federal tax rules, in the case where the Company withholds less than the correct amount of tax or fails to report it, it is liable for the correct amount that it was required to withhold, plus interest and potential penalties. The Company may be entitled to relief on certain payments if the Company can obtain documentation (e.g. taxpayer identification forms) from instructors establishing that the instructor payee qualifies for reduced withholding tax rates, or that the instructor payee reported the payments and paid the corresponding taxes owed.</w:t>
      </w:r>
    </w:p>
    <w:p>
      <w:pPr>
        <w:spacing w:after="0" w:line="207"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Prior to March 2020, the Company had not obtained appropriate taxpayer identification forms from instructors, nor remitted applicable tax withholding amounts to the U.S. Internal Revenue Service (“IRS”) where required. In accordance with GAAP, the Company recorded a provision for its tax exposure when it was both probable that a liability had been incurred and the amount of the exposure could be reasonably estimated. Given the significant quantity of instructor payments the Company makes in its operations, the Company has applied a statistical sampling approach that is analogous to methods commonly used by the IRS when determining the extent of withholding tax obligations during IRS audits for the historical instructor payments.</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instructor withholding provision estimate includes several key assumptions including, but not limited to, the tax characterization of the Company’s payments made to instructors, the historical lookback practices and scoping precedents of the IRS, the methods for sourcing of instructor payments to U.S. and non-U.S. jurisdictions, and management’s estimate of the penalty relief on certain instructor payments it will be entitled to.</w:t>
      </w:r>
    </w:p>
    <w:p>
      <w:pPr>
        <w:spacing w:after="0" w:line="20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Beginning in March 2020, the Company began collecting appropriate taxpayer identification forms from its instructors, assessing whether the forms justified a reduced rate of withholding or withholding exemption, and remitting withholding tax payments to the IRS where required. The Company also began reporting payments to its non-U.S. instructors and the IRS annually where required to do so.</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the Company determined that it was probable that it would owe an estimate of $20.9 million and</w:t>
      </w:r>
    </w:p>
    <w:p>
      <w:pPr>
        <w:ind w:left="120" w:right="20"/>
        <w:spacing w:after="0" w:line="237" w:lineRule="auto"/>
        <w:rPr>
          <w:sz w:val="20"/>
          <w:szCs w:val="20"/>
          <w:color w:val="auto"/>
        </w:rPr>
      </w:pPr>
      <w:r>
        <w:rPr>
          <w:rFonts w:ascii="Arial" w:cs="Arial" w:eastAsia="Arial" w:hAnsi="Arial"/>
          <w:sz w:val="18"/>
          <w:szCs w:val="18"/>
          <w:color w:val="auto"/>
        </w:rPr>
        <w:t>$22.2 million, respectively, for withholding taxes related to historical payments to its instructors. The Company has recorded this amount in accrued expenses and other liabilities in the accompanying consolidated balance sheets, of which $8.4 million and $2.8 million is recorded in general and administrative expenses for the years ended December 31, 2019 and 2020, respectively, in the accompanying consolidated statements of operations. The change in liability during the year ended December 31, 2020 also included a reduction due to $1.5 million of payments made to the IRS, as well as estimated interest of $1.2 million that is recorded in interest income (expense), net in the accompanying consolidated statements of operations.</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During the six months ended June 30, 2020 and 2021 (unaudited), the Company recorded $1.0 million and $0.4 million of expense in the accompanying consolidated statements of operations. Included in those amounts are estimated interest of $0.9 million and $0.4 million for the six months ended June 30, 2020 and 2021 (unaudited), respectively, which are recorded in interest income (expense), net in the accompanying consolidated statements of operations. There were no payments or settlements in the six months ended June 30, 2020 and 2021 (unaudited).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Balance at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beginning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Charged to</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payments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Balance at</w:t>
            </w:r>
          </w:p>
        </w:tc>
      </w:tr>
      <w:tr>
        <w:trPr>
          <w:trHeight w:val="157"/>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of period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expenses</w:t>
            </w:r>
          </w:p>
        </w:tc>
        <w:tc>
          <w:tcPr>
            <w:tcW w:w="1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and settlements</w:t>
            </w:r>
          </w:p>
        </w:tc>
        <w:tc>
          <w:tcPr>
            <w:tcW w:w="12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7"/>
              </w:rPr>
              <w:t>end of period</w:t>
            </w:r>
          </w:p>
        </w:tc>
      </w:tr>
      <w:tr>
        <w:trPr>
          <w:trHeight w:val="169"/>
        </w:trPr>
        <w:tc>
          <w:tcPr>
            <w:tcW w:w="636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3"/>
                <w:szCs w:val="13"/>
                <w:b w:val="1"/>
                <w:bCs w:val="1"/>
                <w:color w:val="auto"/>
              </w:rPr>
              <w:t>Instructor Withholding Tax Reserves</w:t>
            </w:r>
          </w:p>
        </w:tc>
        <w:tc>
          <w:tcPr>
            <w:tcW w:w="220" w:type="dxa"/>
            <w:vAlign w:val="bottom"/>
            <w:tcBorders>
              <w:top w:val="single" w:sz="8" w:color="DDDDDD"/>
            </w:tcBorders>
            <w:shd w:val="clear" w:color="auto" w:fill="DDDDDD"/>
          </w:tcPr>
          <w:p>
            <w:pPr>
              <w:spacing w:after="0"/>
              <w:rPr>
                <w:sz w:val="14"/>
                <w:szCs w:val="14"/>
                <w:color w:val="auto"/>
              </w:rPr>
            </w:pPr>
          </w:p>
        </w:tc>
        <w:tc>
          <w:tcPr>
            <w:tcW w:w="100" w:type="dxa"/>
            <w:vAlign w:val="bottom"/>
            <w:tcBorders>
              <w:top w:val="single" w:sz="8" w:color="auto"/>
            </w:tcBorders>
            <w:shd w:val="clear" w:color="auto" w:fill="DDDDDD"/>
          </w:tcPr>
          <w:p>
            <w:pPr>
              <w:spacing w:after="0"/>
              <w:rPr>
                <w:sz w:val="14"/>
                <w:szCs w:val="14"/>
                <w:color w:val="auto"/>
              </w:rPr>
            </w:pPr>
          </w:p>
        </w:tc>
        <w:tc>
          <w:tcPr>
            <w:tcW w:w="800" w:type="dxa"/>
            <w:vAlign w:val="bottom"/>
            <w:tcBorders>
              <w:top w:val="single" w:sz="8" w:color="auto"/>
            </w:tcBorders>
            <w:shd w:val="clear" w:color="auto" w:fill="DDDDDD"/>
          </w:tcPr>
          <w:p>
            <w:pPr>
              <w:spacing w:after="0"/>
              <w:rPr>
                <w:sz w:val="14"/>
                <w:szCs w:val="14"/>
                <w:color w:val="auto"/>
              </w:rPr>
            </w:pPr>
          </w:p>
        </w:tc>
        <w:tc>
          <w:tcPr>
            <w:tcW w:w="120" w:type="dxa"/>
            <w:vAlign w:val="bottom"/>
            <w:tcBorders>
              <w:top w:val="single" w:sz="8" w:color="DDDDDD"/>
            </w:tcBorders>
            <w:shd w:val="clear" w:color="auto" w:fill="DDDDDD"/>
          </w:tcPr>
          <w:p>
            <w:pPr>
              <w:spacing w:after="0"/>
              <w:rPr>
                <w:sz w:val="14"/>
                <w:szCs w:val="14"/>
                <w:color w:val="auto"/>
              </w:rPr>
            </w:pPr>
          </w:p>
        </w:tc>
        <w:tc>
          <w:tcPr>
            <w:tcW w:w="140" w:type="dxa"/>
            <w:vAlign w:val="bottom"/>
            <w:tcBorders>
              <w:top w:val="single" w:sz="8" w:color="DDDDDD"/>
            </w:tcBorders>
            <w:shd w:val="clear" w:color="auto" w:fill="DDDDDD"/>
          </w:tcPr>
          <w:p>
            <w:pPr>
              <w:spacing w:after="0"/>
              <w:rPr>
                <w:sz w:val="14"/>
                <w:szCs w:val="14"/>
                <w:color w:val="auto"/>
              </w:rPr>
            </w:pPr>
          </w:p>
        </w:tc>
        <w:tc>
          <w:tcPr>
            <w:tcW w:w="60" w:type="dxa"/>
            <w:vAlign w:val="bottom"/>
            <w:tcBorders>
              <w:top w:val="single" w:sz="8" w:color="auto"/>
            </w:tcBorders>
            <w:shd w:val="clear" w:color="auto" w:fill="DDDDDD"/>
          </w:tcPr>
          <w:p>
            <w:pPr>
              <w:spacing w:after="0"/>
              <w:rPr>
                <w:sz w:val="14"/>
                <w:szCs w:val="14"/>
                <w:color w:val="auto"/>
              </w:rPr>
            </w:pPr>
          </w:p>
        </w:tc>
        <w:tc>
          <w:tcPr>
            <w:tcW w:w="760" w:type="dxa"/>
            <w:vAlign w:val="bottom"/>
            <w:tcBorders>
              <w:top w:val="single" w:sz="8" w:color="auto"/>
            </w:tcBorders>
            <w:shd w:val="clear" w:color="auto" w:fill="DDDDDD"/>
          </w:tcPr>
          <w:p>
            <w:pPr>
              <w:spacing w:after="0"/>
              <w:rPr>
                <w:sz w:val="14"/>
                <w:szCs w:val="14"/>
                <w:color w:val="auto"/>
              </w:rPr>
            </w:pPr>
          </w:p>
        </w:tc>
        <w:tc>
          <w:tcPr>
            <w:tcW w:w="120" w:type="dxa"/>
            <w:vAlign w:val="bottom"/>
            <w:tcBorders>
              <w:top w:val="single" w:sz="8" w:color="DDDDDD"/>
            </w:tcBorders>
            <w:shd w:val="clear" w:color="auto" w:fill="DDDDDD"/>
          </w:tcPr>
          <w:p>
            <w:pPr>
              <w:spacing w:after="0"/>
              <w:rPr>
                <w:sz w:val="14"/>
                <w:szCs w:val="14"/>
                <w:color w:val="auto"/>
              </w:rPr>
            </w:pPr>
          </w:p>
        </w:tc>
        <w:tc>
          <w:tcPr>
            <w:tcW w:w="140" w:type="dxa"/>
            <w:vAlign w:val="bottom"/>
            <w:tcBorders>
              <w:top w:val="single" w:sz="8" w:color="DDDDDD"/>
            </w:tcBorders>
            <w:shd w:val="clear" w:color="auto" w:fill="DDDDDD"/>
          </w:tcPr>
          <w:p>
            <w:pPr>
              <w:spacing w:after="0"/>
              <w:rPr>
                <w:sz w:val="14"/>
                <w:szCs w:val="14"/>
                <w:color w:val="auto"/>
              </w:rPr>
            </w:pPr>
          </w:p>
        </w:tc>
        <w:tc>
          <w:tcPr>
            <w:tcW w:w="120" w:type="dxa"/>
            <w:vAlign w:val="bottom"/>
            <w:tcBorders>
              <w:top w:val="single" w:sz="8" w:color="auto"/>
            </w:tcBorders>
            <w:shd w:val="clear" w:color="auto" w:fill="DDDDDD"/>
          </w:tcPr>
          <w:p>
            <w:pPr>
              <w:spacing w:after="0"/>
              <w:rPr>
                <w:sz w:val="14"/>
                <w:szCs w:val="14"/>
                <w:color w:val="auto"/>
              </w:rPr>
            </w:pPr>
          </w:p>
        </w:tc>
        <w:tc>
          <w:tcPr>
            <w:tcW w:w="840" w:type="dxa"/>
            <w:vAlign w:val="bottom"/>
            <w:tcBorders>
              <w:top w:val="single" w:sz="8" w:color="auto"/>
            </w:tcBorders>
            <w:shd w:val="clear" w:color="auto" w:fill="DDDDDD"/>
          </w:tcPr>
          <w:p>
            <w:pPr>
              <w:spacing w:after="0"/>
              <w:rPr>
                <w:sz w:val="14"/>
                <w:szCs w:val="14"/>
                <w:color w:val="auto"/>
              </w:rPr>
            </w:pPr>
          </w:p>
        </w:tc>
        <w:tc>
          <w:tcPr>
            <w:tcW w:w="180" w:type="dxa"/>
            <w:vAlign w:val="bottom"/>
            <w:tcBorders>
              <w:top w:val="single" w:sz="8" w:color="DDDDDD"/>
            </w:tcBorders>
            <w:shd w:val="clear" w:color="auto" w:fill="DDDDDD"/>
          </w:tcPr>
          <w:p>
            <w:pPr>
              <w:spacing w:after="0"/>
              <w:rPr>
                <w:sz w:val="14"/>
                <w:szCs w:val="14"/>
                <w:color w:val="auto"/>
              </w:rPr>
            </w:pPr>
          </w:p>
        </w:tc>
        <w:tc>
          <w:tcPr>
            <w:tcW w:w="120" w:type="dxa"/>
            <w:vAlign w:val="bottom"/>
            <w:tcBorders>
              <w:top w:val="single" w:sz="8" w:color="DDDDDD"/>
            </w:tcBorders>
            <w:shd w:val="clear" w:color="auto" w:fill="DDDDDD"/>
          </w:tcPr>
          <w:p>
            <w:pPr>
              <w:spacing w:after="0"/>
              <w:rPr>
                <w:sz w:val="14"/>
                <w:szCs w:val="14"/>
                <w:color w:val="auto"/>
              </w:rPr>
            </w:pPr>
          </w:p>
        </w:tc>
        <w:tc>
          <w:tcPr>
            <w:tcW w:w="100" w:type="dxa"/>
            <w:vAlign w:val="bottom"/>
            <w:tcBorders>
              <w:top w:val="single" w:sz="8" w:color="auto"/>
            </w:tcBorders>
            <w:shd w:val="clear" w:color="auto" w:fill="DDDDDD"/>
          </w:tcPr>
          <w:p>
            <w:pPr>
              <w:spacing w:after="0"/>
              <w:rPr>
                <w:sz w:val="14"/>
                <w:szCs w:val="14"/>
                <w:color w:val="auto"/>
              </w:rPr>
            </w:pPr>
          </w:p>
        </w:tc>
        <w:tc>
          <w:tcPr>
            <w:tcW w:w="800" w:type="dxa"/>
            <w:vAlign w:val="bottom"/>
            <w:tcBorders>
              <w:top w:val="single" w:sz="8" w:color="auto"/>
            </w:tcBorders>
            <w:shd w:val="clear" w:color="auto" w:fill="DDDDDD"/>
          </w:tcPr>
          <w:p>
            <w:pPr>
              <w:spacing w:after="0"/>
              <w:rPr>
                <w:sz w:val="14"/>
                <w:szCs w:val="14"/>
                <w:color w:val="auto"/>
              </w:rPr>
            </w:pPr>
          </w:p>
        </w:tc>
        <w:tc>
          <w:tcPr>
            <w:tcW w:w="40" w:type="dxa"/>
            <w:vAlign w:val="bottom"/>
            <w:tcBorders>
              <w:top w:val="single" w:sz="8" w:color="DDDDDD"/>
            </w:tcBorders>
            <w:shd w:val="clear" w:color="auto" w:fill="DDDDDD"/>
          </w:tcPr>
          <w:p>
            <w:pPr>
              <w:spacing w:after="0"/>
              <w:rPr>
                <w:sz w:val="14"/>
                <w:szCs w:val="14"/>
                <w:color w:val="auto"/>
              </w:rPr>
            </w:pP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Year Ended December 31, 2019</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12,540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8,386</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20,926</w:t>
            </w:r>
          </w:p>
        </w:tc>
      </w:tr>
      <w:tr>
        <w:trPr>
          <w:trHeight w:val="194"/>
        </w:trPr>
        <w:tc>
          <w:tcPr>
            <w:tcW w:w="6360" w:type="dxa"/>
            <w:vAlign w:val="bottom"/>
            <w:shd w:val="clear" w:color="auto" w:fill="DDDDDD"/>
          </w:tcPr>
          <w:p>
            <w:pPr>
              <w:spacing w:after="0"/>
              <w:rPr>
                <w:sz w:val="20"/>
                <w:szCs w:val="20"/>
                <w:color w:val="auto"/>
              </w:rPr>
            </w:pPr>
            <w:r>
              <w:rPr>
                <w:rFonts w:ascii="Arial" w:cs="Arial" w:eastAsia="Arial" w:hAnsi="Arial"/>
                <w:sz w:val="13"/>
                <w:szCs w:val="13"/>
                <w:color w:val="auto"/>
              </w:rPr>
              <w:t>Year Ended December 31, 2020</w:t>
            </w:r>
          </w:p>
        </w:tc>
        <w:tc>
          <w:tcPr>
            <w:tcW w:w="320" w:type="dxa"/>
            <w:vAlign w:val="bottom"/>
            <w:gridSpan w:val="2"/>
            <w:shd w:val="clear" w:color="auto" w:fill="DDDDDD"/>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20,926</w:t>
            </w:r>
          </w:p>
        </w:tc>
        <w:tc>
          <w:tcPr>
            <w:tcW w:w="2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2,826</w:t>
            </w:r>
          </w:p>
        </w:tc>
        <w:tc>
          <w:tcPr>
            <w:tcW w:w="260" w:type="dxa"/>
            <w:vAlign w:val="bottom"/>
            <w:gridSpan w:val="2"/>
            <w:shd w:val="clear" w:color="auto" w:fill="DDDDDD"/>
          </w:tcPr>
          <w:p>
            <w:pPr>
              <w:ind w:lef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DDDDDD"/>
          </w:tcPr>
          <w:p>
            <w:pPr>
              <w:jc w:val="right"/>
              <w:ind w:right="140"/>
              <w:spacing w:after="0"/>
              <w:rPr>
                <w:sz w:val="20"/>
                <w:szCs w:val="20"/>
                <w:color w:val="auto"/>
              </w:rPr>
            </w:pPr>
            <w:r>
              <w:rPr>
                <w:rFonts w:ascii="Arial" w:cs="Arial" w:eastAsia="Arial" w:hAnsi="Arial"/>
                <w:sz w:val="13"/>
                <w:szCs w:val="13"/>
                <w:color w:val="auto"/>
              </w:rPr>
              <w:t>(1,586)</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DDDDD"/>
          </w:tcPr>
          <w:p>
            <w:pPr>
              <w:jc w:val="right"/>
              <w:ind w:right="40"/>
              <w:spacing w:after="0"/>
              <w:rPr>
                <w:sz w:val="20"/>
                <w:szCs w:val="20"/>
                <w:color w:val="auto"/>
              </w:rPr>
            </w:pPr>
            <w:r>
              <w:rPr>
                <w:rFonts w:ascii="Arial" w:cs="Arial" w:eastAsia="Arial" w:hAnsi="Arial"/>
                <w:sz w:val="13"/>
                <w:szCs w:val="13"/>
                <w:color w:val="auto"/>
              </w:rPr>
              <w:t>22,166</w:t>
            </w:r>
          </w:p>
        </w:tc>
      </w:tr>
      <w:tr>
        <w:trPr>
          <w:trHeight w:val="152"/>
        </w:trPr>
        <w:tc>
          <w:tcPr>
            <w:tcW w:w="6360" w:type="dxa"/>
            <w:vAlign w:val="bottom"/>
          </w:tcPr>
          <w:p>
            <w:pPr>
              <w:spacing w:after="0"/>
              <w:rPr>
                <w:sz w:val="20"/>
                <w:szCs w:val="20"/>
                <w:color w:val="auto"/>
              </w:rPr>
            </w:pPr>
            <w:r>
              <w:rPr>
                <w:rFonts w:ascii="Arial" w:cs="Arial" w:eastAsia="Arial" w:hAnsi="Arial"/>
                <w:sz w:val="13"/>
                <w:szCs w:val="13"/>
                <w:color w:val="auto"/>
              </w:rPr>
              <w:t>Six months ended June 30, 2021 (unaudited)</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22,166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368</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22,534</w:t>
            </w:r>
          </w:p>
        </w:tc>
      </w:tr>
    </w:tbl>
    <w:p>
      <w:pPr>
        <w:spacing w:after="0" w:line="22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2020, the Company began approaching the IRS to address the historical withholding amounts for instructors. Final settlement of the matter could differ materially from the estimate recorded in the accompanying consolidated balance sheets, and there exists a reasonable possibility that the Company could incur losses that are significantly more or significantly less than the Company has accrued as of December 31, 2019 and 2020. The Company estimated a potential range of loss between $7.9 million and $28.1 million as of December 31, 2020, and between $8.0 million and $28.6 million as of June 30, 2021 (unaudited).</w:t>
      </w:r>
    </w:p>
    <w:p>
      <w:pPr>
        <w:spacing w:after="0" w:line="198"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08"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18"/>
          <w:szCs w:val="18"/>
          <w:color w:val="auto"/>
        </w:rPr>
        <w:t>—The Company entered into various non-cancelable operating lease agreements for its facilities that expire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next five years.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minimum lease payments under non-cancelable operating leases as of December 31, 2020,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380"/>
              <w:spacing w:after="0"/>
              <w:rPr>
                <w:sz w:val="20"/>
                <w:szCs w:val="20"/>
                <w:color w:val="auto"/>
              </w:rPr>
            </w:pPr>
            <w:r>
              <w:rPr>
                <w:rFonts w:ascii="Arial" w:cs="Arial" w:eastAsia="Arial" w:hAnsi="Arial"/>
                <w:sz w:val="14"/>
                <w:szCs w:val="14"/>
                <w:b w:val="1"/>
                <w:bCs w:val="1"/>
                <w:color w:val="auto"/>
              </w:rPr>
              <w:t>Lease</w:t>
            </w:r>
          </w:p>
        </w:tc>
      </w:tr>
      <w:tr>
        <w:trPr>
          <w:trHeight w:val="175"/>
        </w:trPr>
        <w:tc>
          <w:tcPr>
            <w:tcW w:w="9240" w:type="dxa"/>
            <w:vAlign w:val="bottom"/>
            <w:tcBorders>
              <w:bottom w:val="single" w:sz="8" w:color="DDDDDD"/>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Commitments</w:t>
            </w:r>
          </w:p>
        </w:tc>
        <w:tc>
          <w:tcPr>
            <w:tcW w:w="60" w:type="dxa"/>
            <w:vAlign w:val="bottom"/>
            <w:tcBorders>
              <w:bottom w:val="single" w:sz="8" w:color="DDDDDD"/>
            </w:tcBorders>
          </w:tcPr>
          <w:p>
            <w:pPr>
              <w:spacing w:after="0"/>
              <w:rPr>
                <w:sz w:val="15"/>
                <w:szCs w:val="15"/>
                <w:color w:val="auto"/>
              </w:rPr>
            </w:pPr>
          </w:p>
        </w:tc>
      </w:tr>
      <w:tr>
        <w:trPr>
          <w:trHeight w:val="230"/>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DDDDDD"/>
            </w:tcBorders>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6,210</w:t>
            </w:r>
          </w:p>
        </w:tc>
        <w:tc>
          <w:tcPr>
            <w:tcW w:w="60" w:type="dxa"/>
            <w:vAlign w:val="bottom"/>
            <w:tcBorders>
              <w:bottom w:val="single" w:sz="8" w:color="DDDDDD"/>
            </w:tcBorders>
            <w:shd w:val="clear" w:color="auto" w:fill="DDDDDD"/>
          </w:tcPr>
          <w:p>
            <w:pPr>
              <w:spacing w:after="0"/>
              <w:rPr>
                <w:sz w:val="20"/>
                <w:szCs w:val="20"/>
                <w:color w:val="auto"/>
              </w:rPr>
            </w:pPr>
          </w:p>
        </w:tc>
      </w:tr>
      <w:tr>
        <w:trPr>
          <w:trHeight w:val="231"/>
        </w:trPr>
        <w:tc>
          <w:tcPr>
            <w:tcW w:w="9240" w:type="dxa"/>
            <w:vAlign w:val="bottom"/>
          </w:tcPr>
          <w:p>
            <w:pPr>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6,498</w:t>
            </w:r>
          </w:p>
        </w:tc>
        <w:tc>
          <w:tcPr>
            <w:tcW w:w="60" w:type="dxa"/>
            <w:vAlign w:val="bottom"/>
          </w:tcPr>
          <w:p>
            <w:pPr>
              <w:spacing w:after="0"/>
              <w:rPr>
                <w:sz w:val="20"/>
                <w:szCs w:val="20"/>
                <w:color w:val="auto"/>
              </w:rPr>
            </w:pPr>
          </w:p>
        </w:tc>
      </w:tr>
      <w:tr>
        <w:trPr>
          <w:trHeight w:val="39"/>
        </w:trPr>
        <w:tc>
          <w:tcPr>
            <w:tcW w:w="9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13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6,171</w:t>
            </w:r>
          </w:p>
        </w:tc>
        <w:tc>
          <w:tcPr>
            <w:tcW w:w="60" w:type="dxa"/>
            <w:vAlign w:val="bottom"/>
            <w:tcBorders>
              <w:bottom w:val="single" w:sz="8" w:color="DDDDDD"/>
            </w:tcBorders>
            <w:shd w:val="clear" w:color="auto" w:fill="DDDDDD"/>
          </w:tcPr>
          <w:p>
            <w:pPr>
              <w:spacing w:after="0"/>
              <w:rPr>
                <w:sz w:val="21"/>
                <w:szCs w:val="21"/>
                <w:color w:val="auto"/>
              </w:rPr>
            </w:pPr>
          </w:p>
        </w:tc>
      </w:tr>
      <w:tr>
        <w:trPr>
          <w:trHeight w:val="231"/>
        </w:trPr>
        <w:tc>
          <w:tcPr>
            <w:tcW w:w="9240" w:type="dxa"/>
            <w:vAlign w:val="bottom"/>
          </w:tcPr>
          <w:p>
            <w:pPr>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5,200</w:t>
            </w:r>
          </w:p>
        </w:tc>
        <w:tc>
          <w:tcPr>
            <w:tcW w:w="60" w:type="dxa"/>
            <w:vAlign w:val="bottom"/>
          </w:tcPr>
          <w:p>
            <w:pPr>
              <w:spacing w:after="0"/>
              <w:rPr>
                <w:sz w:val="20"/>
                <w:szCs w:val="20"/>
                <w:color w:val="auto"/>
              </w:rPr>
            </w:pPr>
          </w:p>
        </w:tc>
      </w:tr>
      <w:tr>
        <w:trPr>
          <w:trHeight w:val="39"/>
        </w:trPr>
        <w:tc>
          <w:tcPr>
            <w:tcW w:w="9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13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809</w:t>
            </w:r>
          </w:p>
        </w:tc>
        <w:tc>
          <w:tcPr>
            <w:tcW w:w="60" w:type="dxa"/>
            <w:vAlign w:val="bottom"/>
            <w:tcBorders>
              <w:bottom w:val="single" w:sz="8" w:color="DDDDDD"/>
            </w:tcBorders>
            <w:shd w:val="clear" w:color="auto" w:fill="DDDDDD"/>
          </w:tcPr>
          <w:p>
            <w:pPr>
              <w:spacing w:after="0"/>
              <w:rPr>
                <w:sz w:val="21"/>
                <w:szCs w:val="21"/>
                <w:color w:val="auto"/>
              </w:rPr>
            </w:pPr>
          </w:p>
        </w:tc>
      </w:tr>
      <w:tr>
        <w:trPr>
          <w:trHeight w:val="231"/>
        </w:trPr>
        <w:tc>
          <w:tcPr>
            <w:tcW w:w="9240" w:type="dxa"/>
            <w:vAlign w:val="bottom"/>
          </w:tcPr>
          <w:p>
            <w:pPr>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410</w:t>
            </w:r>
          </w:p>
        </w:tc>
        <w:tc>
          <w:tcPr>
            <w:tcW w:w="60" w:type="dxa"/>
            <w:vAlign w:val="bottom"/>
          </w:tcPr>
          <w:p>
            <w:pPr>
              <w:spacing w:after="0"/>
              <w:rPr>
                <w:sz w:val="20"/>
                <w:szCs w:val="20"/>
                <w:color w:val="auto"/>
              </w:rPr>
            </w:pPr>
          </w:p>
        </w:tc>
      </w:tr>
      <w:tr>
        <w:trPr>
          <w:trHeight w:val="39"/>
        </w:trPr>
        <w:tc>
          <w:tcPr>
            <w:tcW w:w="9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Total lease commitments</w:t>
            </w:r>
          </w:p>
        </w:tc>
        <w:tc>
          <w:tcPr>
            <w:tcW w:w="380" w:type="dxa"/>
            <w:vAlign w:val="bottom"/>
            <w:tcBorders>
              <w:bottom w:val="single" w:sz="8" w:color="DDDDDD"/>
            </w:tcBorders>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DDDDD"/>
            </w:tcBorders>
            <w:shd w:val="clear" w:color="auto" w:fill="DDDDDD"/>
          </w:tcPr>
          <w:p>
            <w:pPr>
              <w:jc w:val="right"/>
              <w:ind w:right="48"/>
              <w:spacing w:after="0"/>
              <w:rPr>
                <w:sz w:val="20"/>
                <w:szCs w:val="20"/>
                <w:color w:val="auto"/>
              </w:rPr>
            </w:pPr>
            <w:r>
              <w:rPr>
                <w:rFonts w:ascii="Arial" w:cs="Arial" w:eastAsia="Arial" w:hAnsi="Arial"/>
                <w:sz w:val="14"/>
                <w:szCs w:val="14"/>
                <w:color w:val="auto"/>
              </w:rPr>
              <w:t>25,298</w:t>
            </w:r>
          </w:p>
        </w:tc>
        <w:tc>
          <w:tcPr>
            <w:tcW w:w="60" w:type="dxa"/>
            <w:vAlign w:val="bottom"/>
            <w:tcBorders>
              <w:bottom w:val="single" w:sz="8" w:color="DDDDDD"/>
            </w:tcBorders>
            <w:shd w:val="clear" w:color="auto" w:fill="DDDDDD"/>
          </w:tcPr>
          <w:p>
            <w:pPr>
              <w:spacing w:after="0"/>
              <w:rPr>
                <w:sz w:val="22"/>
                <w:szCs w:val="22"/>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(unaudited), there were no material changes to the Company’s future minimum payments related to operating leases.</w:t>
      </w:r>
    </w:p>
    <w:p>
      <w:pPr>
        <w:spacing w:after="0" w:line="212"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Company incurred $5.5 million and $5.5 million of rent expense for the years ended December 31, 2019 and 2020, respectively, and $2.6 million and $2.8 million for the six months ended June 30, 2020 and 2021 (unaudited), respectively.</w:t>
      </w:r>
    </w:p>
    <w:p>
      <w:pPr>
        <w:spacing w:after="0" w:line="17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Noncancelable Purchase Commitments</w:t>
      </w:r>
      <w:r>
        <w:rPr>
          <w:rFonts w:ascii="Arial" w:cs="Arial" w:eastAsia="Arial" w:hAnsi="Arial"/>
          <w:sz w:val="18"/>
          <w:szCs w:val="18"/>
          <w:color w:val="auto"/>
        </w:rPr>
        <w:t>—The Company has contractual commitments with its cloud infrastructure provider,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paid advertising vendors that are noncancelable. Future noncancelable commitments under these arrangements as of December 31, 2020 are as follows (in thousands):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90"/>
        </w:trPr>
        <w:tc>
          <w:tcPr>
            <w:tcW w:w="924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147"/>
        </w:trPr>
        <w:tc>
          <w:tcPr>
            <w:tcW w:w="9240" w:type="dxa"/>
            <w:vAlign w:val="bottom"/>
            <w:tcBorders>
              <w:bottom w:val="single" w:sz="8" w:color="DDDDDD"/>
            </w:tcBorders>
            <w:vMerge w:val="continue"/>
          </w:tcPr>
          <w:p>
            <w:pPr>
              <w:spacing w:after="0"/>
              <w:rPr>
                <w:sz w:val="12"/>
                <w:szCs w:val="12"/>
                <w:color w:val="auto"/>
              </w:rPr>
            </w:pPr>
          </w:p>
        </w:tc>
        <w:tc>
          <w:tcPr>
            <w:tcW w:w="320" w:type="dxa"/>
            <w:vAlign w:val="bottom"/>
            <w:tcBorders>
              <w:bottom w:val="single" w:sz="8" w:color="DDDDD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0" w:type="dxa"/>
            <w:vAlign w:val="bottom"/>
            <w:tcBorders>
              <w:bottom w:val="single" w:sz="8" w:color="DDDDDD"/>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8,075</w:t>
            </w:r>
          </w:p>
        </w:tc>
        <w:tc>
          <w:tcPr>
            <w:tcW w:w="4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9240" w:type="dxa"/>
            <w:vAlign w:val="bottom"/>
          </w:tcPr>
          <w:p>
            <w:pPr>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294</w:t>
            </w:r>
          </w:p>
        </w:tc>
        <w:tc>
          <w:tcPr>
            <w:tcW w:w="40" w:type="dxa"/>
            <w:vAlign w:val="bottom"/>
            <w:tcBorders>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9240" w:type="dxa"/>
            <w:vAlign w:val="bottom"/>
          </w:tcPr>
          <w:p>
            <w:pPr>
              <w:spacing w:after="0"/>
              <w:rPr>
                <w:sz w:val="20"/>
                <w:szCs w:val="20"/>
                <w:color w:val="auto"/>
              </w:rPr>
            </w:pPr>
            <w:r>
              <w:rPr>
                <w:rFonts w:ascii="Arial" w:cs="Arial" w:eastAsia="Arial" w:hAnsi="Arial"/>
                <w:sz w:val="14"/>
                <w:szCs w:val="14"/>
                <w:color w:val="auto"/>
              </w:rPr>
              <w:t>Thereafter</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2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Total purchase commitments</w:t>
            </w:r>
          </w:p>
        </w:tc>
        <w:tc>
          <w:tcPr>
            <w:tcW w:w="5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9,037</w:t>
            </w:r>
          </w:p>
        </w:tc>
        <w:tc>
          <w:tcPr>
            <w:tcW w:w="40" w:type="dxa"/>
            <w:vAlign w:val="bottom"/>
            <w:tcBorders>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noncancelable commitments under these arrangements as of June 30, 2021 (unaudited)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r>
      <w:tr>
        <w:trPr>
          <w:trHeight w:val="175"/>
        </w:trPr>
        <w:tc>
          <w:tcPr>
            <w:tcW w:w="924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Commitments</w:t>
            </w:r>
          </w:p>
        </w:tc>
      </w:tr>
      <w:tr>
        <w:trPr>
          <w:trHeight w:val="155"/>
        </w:trPr>
        <w:tc>
          <w:tcPr>
            <w:tcW w:w="9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88"/>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16"/>
        </w:trPr>
        <w:tc>
          <w:tcPr>
            <w:tcW w:w="9240" w:type="dxa"/>
            <w:vAlign w:val="bottom"/>
            <w:shd w:val="clear" w:color="auto" w:fill="DDDDDD"/>
          </w:tcPr>
          <w:p>
            <w:pPr>
              <w:spacing w:after="0"/>
              <w:rPr>
                <w:sz w:val="20"/>
                <w:szCs w:val="20"/>
                <w:color w:val="auto"/>
              </w:rPr>
            </w:pPr>
            <w:r>
              <w:rPr>
                <w:rFonts w:ascii="Arial" w:cs="Arial" w:eastAsia="Arial" w:hAnsi="Arial"/>
                <w:sz w:val="14"/>
                <w:szCs w:val="14"/>
                <w:color w:val="auto"/>
              </w:rPr>
              <w:t>2021 (remaining six months)</w:t>
            </w:r>
          </w:p>
        </w:tc>
        <w:tc>
          <w:tcPr>
            <w:tcW w:w="38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11,730</w:t>
            </w:r>
          </w:p>
        </w:tc>
        <w:tc>
          <w:tcPr>
            <w:tcW w:w="60" w:type="dxa"/>
            <w:vAlign w:val="bottom"/>
            <w:shd w:val="clear" w:color="auto" w:fill="DDDDDD"/>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5,259</w:t>
            </w:r>
          </w:p>
        </w:tc>
        <w:tc>
          <w:tcPr>
            <w:tcW w:w="60" w:type="dxa"/>
            <w:vAlign w:val="bottom"/>
          </w:tcPr>
          <w:p>
            <w:pPr>
              <w:spacing w:after="0"/>
              <w:rPr>
                <w:sz w:val="18"/>
                <w:szCs w:val="18"/>
                <w:color w:val="auto"/>
              </w:rPr>
            </w:pPr>
          </w:p>
        </w:tc>
      </w:tr>
      <w:tr>
        <w:trPr>
          <w:trHeight w:val="222"/>
        </w:trPr>
        <w:tc>
          <w:tcPr>
            <w:tcW w:w="9240" w:type="dxa"/>
            <w:vAlign w:val="bottom"/>
            <w:shd w:val="clear" w:color="auto" w:fill="DDDDDD"/>
          </w:tcPr>
          <w:p>
            <w:pPr>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3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754</w:t>
            </w:r>
          </w:p>
        </w:tc>
        <w:tc>
          <w:tcPr>
            <w:tcW w:w="60" w:type="dxa"/>
            <w:vAlign w:val="bottom"/>
            <w:shd w:val="clear" w:color="auto" w:fill="DDDDDD"/>
          </w:tcPr>
          <w:p>
            <w:pPr>
              <w:spacing w:after="0"/>
              <w:rPr>
                <w:sz w:val="19"/>
                <w:szCs w:val="19"/>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40" w:type="dxa"/>
            <w:vAlign w:val="bottom"/>
            <w:shd w:val="clear" w:color="auto" w:fill="DDDDDD"/>
          </w:tcPr>
          <w:p>
            <w:pPr>
              <w:spacing w:after="0"/>
              <w:rPr>
                <w:sz w:val="20"/>
                <w:szCs w:val="20"/>
                <w:color w:val="auto"/>
              </w:rPr>
            </w:pPr>
            <w:r>
              <w:rPr>
                <w:rFonts w:ascii="Arial" w:cs="Arial" w:eastAsia="Arial" w:hAnsi="Arial"/>
                <w:sz w:val="14"/>
                <w:szCs w:val="14"/>
                <w:color w:val="auto"/>
              </w:rPr>
              <w:t>Total purchase commitments</w:t>
            </w:r>
          </w:p>
        </w:tc>
        <w:tc>
          <w:tcPr>
            <w:tcW w:w="38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17,817</w:t>
            </w:r>
          </w:p>
        </w:tc>
        <w:tc>
          <w:tcPr>
            <w:tcW w:w="60" w:type="dxa"/>
            <w:vAlign w:val="bottom"/>
            <w:shd w:val="clear" w:color="auto" w:fill="DDDDDD"/>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—The Company enters into indemnification provisions under agreements with other parties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consolidated statements of operations in connection with the indemnification provisions have not been material.</w:t>
      </w:r>
    </w:p>
    <w:p>
      <w:pPr>
        <w:spacing w:after="0" w:line="183"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in the ordinary course of business, the Company is subject to legal proceedings, claims, investigations,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w:t>
      </w:r>
    </w:p>
    <w:p>
      <w:pPr>
        <w:spacing w:after="0" w:line="202"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30"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domestic and foreign components of income (loss) before provision for income taxes consisted of the following as of December 31, 2019 and 2020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15"/>
                <w:szCs w:val="15"/>
                <w:color w:val="auto"/>
              </w:rPr>
            </w:pPr>
          </w:p>
        </w:tc>
      </w:tr>
      <w:tr>
        <w:trPr>
          <w:trHeight w:val="230"/>
        </w:trPr>
        <w:tc>
          <w:tcPr>
            <w:tcW w:w="77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Domestic</w:t>
            </w:r>
          </w:p>
        </w:tc>
        <w:tc>
          <w:tcPr>
            <w:tcW w:w="1020" w:type="dxa"/>
            <w:vAlign w:val="bottom"/>
            <w:tcBorders>
              <w:bottom w:val="single" w:sz="8" w:color="DDDDDD"/>
            </w:tcBorders>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(69,161)</w:t>
            </w:r>
          </w:p>
        </w:tc>
        <w:tc>
          <w:tcPr>
            <w:tcW w:w="340" w:type="dxa"/>
            <w:vAlign w:val="bottom"/>
            <w:tcBorders>
              <w:bottom w:val="single" w:sz="8" w:color="DDDDDD"/>
            </w:tcBorders>
            <w:shd w:val="clear" w:color="auto" w:fill="DDDDDD"/>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(77,212)</w:t>
            </w:r>
          </w:p>
        </w:tc>
      </w:tr>
      <w:tr>
        <w:trPr>
          <w:trHeight w:val="231"/>
        </w:trPr>
        <w:tc>
          <w:tcPr>
            <w:tcW w:w="7700" w:type="dxa"/>
            <w:vAlign w:val="bottom"/>
          </w:tcPr>
          <w:p>
            <w:pPr>
              <w:spacing w:after="0"/>
              <w:rPr>
                <w:sz w:val="20"/>
                <w:szCs w:val="20"/>
                <w:color w:val="auto"/>
              </w:rPr>
            </w:pPr>
            <w:r>
              <w:rPr>
                <w:rFonts w:ascii="Arial" w:cs="Arial" w:eastAsia="Arial" w:hAnsi="Arial"/>
                <w:sz w:val="14"/>
                <w:szCs w:val="14"/>
                <w:color w:val="auto"/>
              </w:rPr>
              <w:t>Foreign</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833</w:t>
            </w: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2,741</w:t>
            </w:r>
          </w:p>
        </w:tc>
      </w:tr>
      <w:tr>
        <w:trPr>
          <w:trHeight w:val="39"/>
        </w:trPr>
        <w:tc>
          <w:tcPr>
            <w:tcW w:w="7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77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Total net loss before taxes</w:t>
            </w:r>
          </w:p>
        </w:tc>
        <w:tc>
          <w:tcPr>
            <w:tcW w:w="1020" w:type="dxa"/>
            <w:vAlign w:val="bottom"/>
            <w:tcBorders>
              <w:bottom w:val="single" w:sz="8" w:color="DDDDDD"/>
            </w:tcBorders>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(68,328)</w:t>
            </w:r>
          </w:p>
        </w:tc>
        <w:tc>
          <w:tcPr>
            <w:tcW w:w="340" w:type="dxa"/>
            <w:vAlign w:val="bottom"/>
            <w:tcBorders>
              <w:bottom w:val="single" w:sz="8" w:color="DDDDDD"/>
            </w:tcBorders>
            <w:shd w:val="clear" w:color="auto" w:fill="DDDDDD"/>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(74,471)</w:t>
            </w: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taxes consisted of the following for the years ended December 31, 2019 and 2020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5"/>
                <w:szCs w:val="15"/>
                <w:color w:val="auto"/>
              </w:rPr>
            </w:pPr>
          </w:p>
        </w:tc>
        <w:tc>
          <w:tcPr>
            <w:tcW w:w="460" w:type="dxa"/>
            <w:vAlign w:val="bottom"/>
          </w:tcPr>
          <w:p>
            <w:pPr>
              <w:jc w:val="right"/>
              <w:ind w:right="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230"/>
        </w:trPr>
        <w:tc>
          <w:tcPr>
            <w:tcW w:w="7320" w:type="dxa"/>
            <w:vAlign w:val="bottom"/>
            <w:tcBorders>
              <w:top w:val="single" w:sz="8" w:color="DDDDDD"/>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Current:</w:t>
            </w:r>
          </w:p>
        </w:tc>
        <w:tc>
          <w:tcPr>
            <w:tcW w:w="1360" w:type="dxa"/>
            <w:vAlign w:val="bottom"/>
            <w:tcBorders>
              <w:top w:val="single" w:sz="8" w:color="DDDDDD"/>
              <w:bottom w:val="single" w:sz="8" w:color="DDDDDD"/>
            </w:tcBorders>
            <w:shd w:val="clear" w:color="auto" w:fill="DDDDDD"/>
          </w:tcPr>
          <w:p>
            <w:pPr>
              <w:spacing w:after="0"/>
              <w:rPr>
                <w:sz w:val="20"/>
                <w:szCs w:val="20"/>
                <w:color w:val="auto"/>
              </w:rPr>
            </w:pPr>
          </w:p>
        </w:tc>
        <w:tc>
          <w:tcPr>
            <w:tcW w:w="440" w:type="dxa"/>
            <w:vAlign w:val="bottom"/>
            <w:tcBorders>
              <w:top w:val="single" w:sz="8" w:color="auto"/>
              <w:bottom w:val="single" w:sz="8" w:color="DDDDDD"/>
            </w:tcBorders>
            <w:shd w:val="clear" w:color="auto" w:fill="DDDDDD"/>
          </w:tcPr>
          <w:p>
            <w:pPr>
              <w:spacing w:after="0"/>
              <w:rPr>
                <w:sz w:val="20"/>
                <w:szCs w:val="20"/>
                <w:color w:val="auto"/>
              </w:rPr>
            </w:pPr>
          </w:p>
        </w:tc>
        <w:tc>
          <w:tcPr>
            <w:tcW w:w="1400" w:type="dxa"/>
            <w:vAlign w:val="bottom"/>
            <w:tcBorders>
              <w:top w:val="single" w:sz="8" w:color="DDDDDD"/>
              <w:bottom w:val="single" w:sz="8" w:color="DDDDDD"/>
            </w:tcBorders>
            <w:shd w:val="clear" w:color="auto" w:fill="DDDDDD"/>
          </w:tcPr>
          <w:p>
            <w:pPr>
              <w:spacing w:after="0"/>
              <w:rPr>
                <w:sz w:val="20"/>
                <w:szCs w:val="20"/>
                <w:color w:val="auto"/>
              </w:rPr>
            </w:pPr>
          </w:p>
        </w:tc>
        <w:tc>
          <w:tcPr>
            <w:tcW w:w="460" w:type="dxa"/>
            <w:vAlign w:val="bottom"/>
            <w:tcBorders>
              <w:top w:val="single" w:sz="8" w:color="auto"/>
              <w:bottom w:val="single" w:sz="8" w:color="DDDDDD"/>
            </w:tcBorders>
            <w:shd w:val="clear" w:color="auto" w:fill="DDDDDD"/>
          </w:tcPr>
          <w:p>
            <w:pPr>
              <w:spacing w:after="0"/>
              <w:rPr>
                <w:sz w:val="20"/>
                <w:szCs w:val="20"/>
                <w:color w:val="auto"/>
              </w:rPr>
            </w:pP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r>
      <w:tr>
        <w:trPr>
          <w:trHeight w:val="231"/>
        </w:trPr>
        <w:tc>
          <w:tcPr>
            <w:tcW w:w="7320" w:type="dxa"/>
            <w:vAlign w:val="bottom"/>
          </w:tcPr>
          <w:p>
            <w:pPr>
              <w:ind w:left="260"/>
              <w:spacing w:after="0"/>
              <w:rPr>
                <w:sz w:val="20"/>
                <w:szCs w:val="20"/>
                <w:color w:val="auto"/>
              </w:rPr>
            </w:pPr>
            <w:r>
              <w:rPr>
                <w:rFonts w:ascii="Arial" w:cs="Arial" w:eastAsia="Arial" w:hAnsi="Arial"/>
                <w:sz w:val="14"/>
                <w:szCs w:val="14"/>
                <w:color w:val="auto"/>
              </w:rPr>
              <w:t>Federal</w:t>
            </w:r>
          </w:p>
        </w:tc>
        <w:tc>
          <w:tcPr>
            <w:tcW w:w="3200" w:type="dxa"/>
            <w:vAlign w:val="bottom"/>
            <w:gridSpan w:val="3"/>
          </w:tcPr>
          <w:p>
            <w:pPr>
              <w:jc w:val="right"/>
              <w:ind w:right="1400"/>
              <w:spacing w:after="0"/>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r>
      <w:tr>
        <w:trPr>
          <w:trHeight w:val="39"/>
        </w:trPr>
        <w:tc>
          <w:tcPr>
            <w:tcW w:w="7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732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State</w:t>
            </w:r>
          </w:p>
        </w:tc>
        <w:tc>
          <w:tcPr>
            <w:tcW w:w="3200" w:type="dxa"/>
            <w:vAlign w:val="bottom"/>
            <w:tcBorders>
              <w:bottom w:val="single" w:sz="8" w:color="DDDDDD"/>
            </w:tcBorders>
            <w:gridSpan w:val="3"/>
            <w:shd w:val="clear" w:color="auto" w:fill="DDDDDD"/>
          </w:tcPr>
          <w:p>
            <w:pPr>
              <w:jc w:val="right"/>
              <w:ind w:right="1400"/>
              <w:spacing w:after="0"/>
              <w:rPr>
                <w:sz w:val="20"/>
                <w:szCs w:val="20"/>
                <w:color w:val="auto"/>
              </w:rPr>
            </w:pPr>
            <w:r>
              <w:rPr>
                <w:rFonts w:ascii="Arial" w:cs="Arial" w:eastAsia="Arial" w:hAnsi="Arial"/>
                <w:sz w:val="14"/>
                <w:szCs w:val="14"/>
                <w:color w:val="auto"/>
              </w:rPr>
              <w:t>83</w:t>
            </w:r>
          </w:p>
        </w:tc>
        <w:tc>
          <w:tcPr>
            <w:tcW w:w="50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63</w:t>
            </w:r>
          </w:p>
        </w:tc>
      </w:tr>
      <w:tr>
        <w:trPr>
          <w:trHeight w:val="231"/>
        </w:trPr>
        <w:tc>
          <w:tcPr>
            <w:tcW w:w="7320" w:type="dxa"/>
            <w:vAlign w:val="bottom"/>
          </w:tcPr>
          <w:p>
            <w:pPr>
              <w:ind w:left="260"/>
              <w:spacing w:after="0"/>
              <w:rPr>
                <w:sz w:val="20"/>
                <w:szCs w:val="20"/>
                <w:color w:val="auto"/>
              </w:rPr>
            </w:pPr>
            <w:r>
              <w:rPr>
                <w:rFonts w:ascii="Arial" w:cs="Arial" w:eastAsia="Arial" w:hAnsi="Arial"/>
                <w:sz w:val="14"/>
                <w:szCs w:val="14"/>
                <w:color w:val="auto"/>
              </w:rPr>
              <w:t>Foreign</w:t>
            </w:r>
          </w:p>
        </w:tc>
        <w:tc>
          <w:tcPr>
            <w:tcW w:w="3200" w:type="dxa"/>
            <w:vAlign w:val="bottom"/>
            <w:gridSpan w:val="3"/>
          </w:tcPr>
          <w:p>
            <w:pPr>
              <w:jc w:val="right"/>
              <w:ind w:right="1400"/>
              <w:spacing w:after="0"/>
              <w:rPr>
                <w:sz w:val="20"/>
                <w:szCs w:val="20"/>
                <w:color w:val="auto"/>
              </w:rPr>
            </w:pPr>
            <w:r>
              <w:rPr>
                <w:rFonts w:ascii="Arial" w:cs="Arial" w:eastAsia="Arial" w:hAnsi="Arial"/>
                <w:sz w:val="14"/>
                <w:szCs w:val="14"/>
                <w:color w:val="auto"/>
              </w:rPr>
              <w:t>1,292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2,937</w:t>
            </w:r>
          </w:p>
        </w:tc>
      </w:tr>
      <w:tr>
        <w:trPr>
          <w:trHeight w:val="39"/>
        </w:trPr>
        <w:tc>
          <w:tcPr>
            <w:tcW w:w="7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7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320" w:type="dxa"/>
            <w:vAlign w:val="bottom"/>
            <w:tcBorders>
              <w:bottom w:val="single" w:sz="8" w:color="DDDDDD"/>
            </w:tcBorders>
            <w:shd w:val="clear" w:color="auto" w:fill="DDDDDD"/>
          </w:tcPr>
          <w:p>
            <w:pPr>
              <w:ind w:left="440"/>
              <w:spacing w:after="0"/>
              <w:rPr>
                <w:sz w:val="20"/>
                <w:szCs w:val="20"/>
                <w:color w:val="auto"/>
              </w:rPr>
            </w:pPr>
            <w:r>
              <w:rPr>
                <w:rFonts w:ascii="Arial" w:cs="Arial" w:eastAsia="Arial" w:hAnsi="Arial"/>
                <w:sz w:val="14"/>
                <w:szCs w:val="14"/>
                <w:color w:val="auto"/>
              </w:rPr>
              <w:t>Total current income tax expense</w:t>
            </w:r>
          </w:p>
        </w:tc>
        <w:tc>
          <w:tcPr>
            <w:tcW w:w="1360" w:type="dxa"/>
            <w:vAlign w:val="bottom"/>
            <w:tcBorders>
              <w:bottom w:val="single" w:sz="8" w:color="DDDDDD"/>
            </w:tcBorders>
            <w:shd w:val="clear" w:color="auto" w:fill="DDDDDD"/>
          </w:tcPr>
          <w:p>
            <w:pPr>
              <w:spacing w:after="0"/>
              <w:rPr>
                <w:sz w:val="20"/>
                <w:szCs w:val="20"/>
                <w:color w:val="auto"/>
              </w:rPr>
            </w:pPr>
          </w:p>
        </w:tc>
        <w:tc>
          <w:tcPr>
            <w:tcW w:w="1840" w:type="dxa"/>
            <w:vAlign w:val="bottom"/>
            <w:tcBorders>
              <w:bottom w:val="single" w:sz="8" w:color="DDDDDD"/>
            </w:tcBorders>
            <w:gridSpan w:val="2"/>
            <w:shd w:val="clear" w:color="auto" w:fill="DDDDDD"/>
          </w:tcPr>
          <w:p>
            <w:pPr>
              <w:jc w:val="right"/>
              <w:ind w:right="1400"/>
              <w:spacing w:after="0"/>
              <w:rPr>
                <w:sz w:val="20"/>
                <w:szCs w:val="20"/>
                <w:color w:val="auto"/>
              </w:rPr>
            </w:pPr>
            <w:r>
              <w:rPr>
                <w:rFonts w:ascii="Arial" w:cs="Arial" w:eastAsia="Arial" w:hAnsi="Arial"/>
                <w:sz w:val="14"/>
                <w:szCs w:val="14"/>
                <w:color w:val="auto"/>
              </w:rPr>
              <w:t>1,375</w:t>
            </w:r>
          </w:p>
        </w:tc>
        <w:tc>
          <w:tcPr>
            <w:tcW w:w="50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3,000</w:t>
            </w:r>
          </w:p>
        </w:tc>
      </w:tr>
      <w:tr>
        <w:trPr>
          <w:trHeight w:val="20"/>
        </w:trPr>
        <w:tc>
          <w:tcPr>
            <w:tcW w:w="7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2"/>
        </w:trPr>
        <w:tc>
          <w:tcPr>
            <w:tcW w:w="7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w w:val="97"/>
              </w:rPr>
              <w:t>F-28</w:t>
            </w: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211"/>
        </w:trPr>
        <w:tc>
          <w:tcPr>
            <w:tcW w:w="7820" w:type="dxa"/>
            <w:vAlign w:val="bottom"/>
          </w:tcPr>
          <w:p>
            <w:pPr>
              <w:spacing w:after="0"/>
              <w:rPr>
                <w:sz w:val="20"/>
                <w:szCs w:val="20"/>
                <w:color w:val="auto"/>
              </w:rPr>
            </w:pPr>
            <w:r>
              <w:rPr>
                <w:rFonts w:ascii="Arial" w:cs="Arial" w:eastAsia="Arial" w:hAnsi="Arial"/>
                <w:sz w:val="14"/>
                <w:szCs w:val="14"/>
                <w:color w:val="auto"/>
              </w:rPr>
              <w:t>Deferred:</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9"/>
        </w:trPr>
        <w:tc>
          <w:tcPr>
            <w:tcW w:w="7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782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Federal</w:t>
            </w:r>
          </w:p>
        </w:tc>
        <w:tc>
          <w:tcPr>
            <w:tcW w:w="100" w:type="dxa"/>
            <w:vAlign w:val="bottom"/>
            <w:tcBorders>
              <w:bottom w:val="single" w:sz="8" w:color="DDDDDD"/>
            </w:tcBorders>
            <w:shd w:val="clear" w:color="auto" w:fill="DDDDDD"/>
          </w:tcPr>
          <w:p>
            <w:pPr>
              <w:spacing w:after="0"/>
              <w:rPr>
                <w:sz w:val="21"/>
                <w:szCs w:val="21"/>
                <w:color w:val="auto"/>
              </w:rPr>
            </w:pPr>
          </w:p>
        </w:tc>
        <w:tc>
          <w:tcPr>
            <w:tcW w:w="1000" w:type="dxa"/>
            <w:vAlign w:val="bottom"/>
            <w:tcBorders>
              <w:bottom w:val="single" w:sz="8" w:color="DDDDDD"/>
            </w:tcBorders>
            <w:shd w:val="clear" w:color="auto" w:fill="DDDDDD"/>
          </w:tcPr>
          <w:p>
            <w:pPr>
              <w:spacing w:after="0"/>
              <w:rPr>
                <w:sz w:val="21"/>
                <w:szCs w:val="21"/>
                <w:color w:val="auto"/>
              </w:rPr>
            </w:pPr>
          </w:p>
        </w:tc>
        <w:tc>
          <w:tcPr>
            <w:tcW w:w="60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DDDDD"/>
            </w:tcBorders>
            <w:shd w:val="clear" w:color="auto" w:fill="DDDDDD"/>
          </w:tcPr>
          <w:p>
            <w:pPr>
              <w:spacing w:after="0"/>
              <w:rPr>
                <w:sz w:val="21"/>
                <w:szCs w:val="21"/>
                <w:color w:val="auto"/>
              </w:rPr>
            </w:pPr>
          </w:p>
        </w:tc>
        <w:tc>
          <w:tcPr>
            <w:tcW w:w="118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r>
      <w:tr>
        <w:trPr>
          <w:trHeight w:val="231"/>
        </w:trPr>
        <w:tc>
          <w:tcPr>
            <w:tcW w:w="7820" w:type="dxa"/>
            <w:vAlign w:val="bottom"/>
          </w:tcPr>
          <w:p>
            <w:pPr>
              <w:ind w:left="260"/>
              <w:spacing w:after="0"/>
              <w:rPr>
                <w:sz w:val="20"/>
                <w:szCs w:val="20"/>
                <w:color w:val="auto"/>
              </w:rPr>
            </w:pPr>
            <w:r>
              <w:rPr>
                <w:rFonts w:ascii="Arial" w:cs="Arial" w:eastAsia="Arial" w:hAnsi="Arial"/>
                <w:sz w:val="14"/>
                <w:szCs w:val="14"/>
                <w:color w:val="auto"/>
              </w:rPr>
              <w:t>State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39"/>
        </w:trPr>
        <w:tc>
          <w:tcPr>
            <w:tcW w:w="7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0"/>
        </w:trPr>
        <w:tc>
          <w:tcPr>
            <w:tcW w:w="782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Foreign</w:t>
            </w:r>
          </w:p>
        </w:tc>
        <w:tc>
          <w:tcPr>
            <w:tcW w:w="10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spacing w:after="0"/>
              <w:rPr>
                <w:sz w:val="23"/>
                <w:szCs w:val="23"/>
                <w:color w:val="auto"/>
              </w:rPr>
            </w:pPr>
          </w:p>
        </w:tc>
        <w:tc>
          <w:tcPr>
            <w:tcW w:w="60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DDDDD"/>
            </w:tcBorders>
            <w:shd w:val="clear" w:color="auto" w:fill="DDDDDD"/>
          </w:tcPr>
          <w:p>
            <w:pPr>
              <w:spacing w:after="0"/>
              <w:rPr>
                <w:sz w:val="23"/>
                <w:szCs w:val="23"/>
                <w:color w:val="auto"/>
              </w:rPr>
            </w:pPr>
          </w:p>
        </w:tc>
        <w:tc>
          <w:tcPr>
            <w:tcW w:w="118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149</w:t>
            </w:r>
          </w:p>
        </w:tc>
      </w:tr>
      <w:tr>
        <w:trPr>
          <w:trHeight w:val="238"/>
        </w:trPr>
        <w:tc>
          <w:tcPr>
            <w:tcW w:w="7820" w:type="dxa"/>
            <w:vAlign w:val="bottom"/>
          </w:tcPr>
          <w:p>
            <w:pPr>
              <w:ind w:left="440"/>
              <w:spacing w:after="0"/>
              <w:rPr>
                <w:sz w:val="20"/>
                <w:szCs w:val="20"/>
                <w:color w:val="auto"/>
              </w:rPr>
            </w:pPr>
            <w:r>
              <w:rPr>
                <w:rFonts w:ascii="Arial" w:cs="Arial" w:eastAsia="Arial" w:hAnsi="Arial"/>
                <w:sz w:val="14"/>
                <w:szCs w:val="14"/>
                <w:color w:val="auto"/>
              </w:rPr>
              <w:t>Total deferred income tax expense</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20"/>
                <w:szCs w:val="20"/>
                <w:color w:val="auto"/>
              </w:rPr>
            </w:pPr>
          </w:p>
        </w:tc>
      </w:tr>
      <w:tr>
        <w:trPr>
          <w:trHeight w:val="39"/>
        </w:trPr>
        <w:tc>
          <w:tcPr>
            <w:tcW w:w="7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82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Total provision for income taxes</w:t>
            </w:r>
          </w:p>
        </w:tc>
        <w:tc>
          <w:tcPr>
            <w:tcW w:w="1100" w:type="dxa"/>
            <w:vAlign w:val="bottom"/>
            <w:tcBorders>
              <w:bottom w:val="single" w:sz="8" w:color="DDDDDD"/>
            </w:tcBorders>
            <w:gridSpan w:val="2"/>
            <w:shd w:val="clear" w:color="auto" w:fill="DDDDDD"/>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1,375</w:t>
            </w:r>
          </w:p>
        </w:tc>
        <w:tc>
          <w:tcPr>
            <w:tcW w:w="320" w:type="dxa"/>
            <w:vAlign w:val="bottom"/>
            <w:tcBorders>
              <w:bottom w:val="single" w:sz="8" w:color="DDDDDD"/>
            </w:tcBorders>
            <w:shd w:val="clear" w:color="auto" w:fill="DDDDDD"/>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3,149</w:t>
            </w: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The Company had an effective tax rate of (2.00)% and (4.23)% for the periods ended December 31, 2019 and 2020, respectively. The difference between the 21% statutory federal tax rate and the effective tax rate was primarily a result of foreign withholding tax, tax adjustments related to stock-based compensation, and change in valuation allowance.</w:t>
      </w:r>
    </w:p>
    <w:p>
      <w:pPr>
        <w:spacing w:after="0" w:line="20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The reconciliation between the statutory federal income tax rate and the Company’s effective tax rate as a percentage of loss before income taxes is as follows:</w:t>
      </w:r>
    </w:p>
    <w:p>
      <w:pPr>
        <w:spacing w:after="0" w:line="211" w:lineRule="exact"/>
        <w:rPr>
          <w:sz w:val="20"/>
          <w:szCs w:val="20"/>
          <w:color w:val="auto"/>
        </w:rPr>
      </w:pPr>
    </w:p>
    <w:p>
      <w:pPr>
        <w:ind w:left="8320"/>
        <w:spacing w:after="0"/>
        <w:tabs>
          <w:tab w:leader="none" w:pos="100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473202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32020" cy="1797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7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Federal tax expense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State taxes,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473202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3202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rate differential</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47320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3202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473202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3202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Effective tax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Borders>
              <w:bottom w:val="single" w:sz="8" w:color="DDDDDD"/>
            </w:tcBorders>
            <w:gridSpan w:val="3"/>
            <w:shd w:val="clear" w:color="auto" w:fill="DDDDDD"/>
          </w:tcPr>
          <w:p>
            <w:pPr>
              <w:jc w:val="right"/>
              <w:ind w:right="200"/>
              <w:spacing w:after="0"/>
              <w:rPr>
                <w:sz w:val="20"/>
                <w:szCs w:val="20"/>
                <w:color w:val="auto"/>
              </w:rPr>
            </w:pPr>
            <w:r>
              <w:rPr>
                <w:rFonts w:ascii="Arial" w:cs="Arial" w:eastAsia="Arial" w:hAnsi="Arial"/>
                <w:sz w:val="14"/>
                <w:szCs w:val="14"/>
                <w:color w:val="auto"/>
              </w:rPr>
              <w:t>21.00%</w:t>
            </w:r>
          </w:p>
        </w:tc>
        <w:tc>
          <w:tcPr>
            <w:tcW w:w="162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21.00%</w:t>
            </w:r>
          </w:p>
        </w:tc>
      </w:tr>
      <w:tr>
        <w:trPr>
          <w:trHeight w:val="231"/>
        </w:trPr>
        <w:tc>
          <w:tcPr>
            <w:tcW w:w="1960" w:type="dxa"/>
            <w:vAlign w:val="bottom"/>
            <w:gridSpan w:val="3"/>
          </w:tcPr>
          <w:p>
            <w:pPr>
              <w:jc w:val="right"/>
              <w:ind w:right="200"/>
              <w:spacing w:after="0"/>
              <w:rPr>
                <w:sz w:val="20"/>
                <w:szCs w:val="20"/>
                <w:color w:val="auto"/>
              </w:rPr>
            </w:pPr>
            <w:r>
              <w:rPr>
                <w:rFonts w:ascii="Arial" w:cs="Arial" w:eastAsia="Arial" w:hAnsi="Arial"/>
                <w:sz w:val="14"/>
                <w:szCs w:val="14"/>
                <w:color w:val="auto"/>
              </w:rPr>
              <w:t>0.09%</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r>
      <w:tr>
        <w:trPr>
          <w:trHeight w:val="39"/>
        </w:trPr>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0"/>
        </w:trPr>
        <w:tc>
          <w:tcPr>
            <w:tcW w:w="1960" w:type="dxa"/>
            <w:vAlign w:val="bottom"/>
            <w:tcBorders>
              <w:bottom w:val="single" w:sz="8" w:color="DDDDDD"/>
            </w:tcBorders>
            <w:gridSpan w:val="3"/>
            <w:shd w:val="clear" w:color="auto" w:fill="DDDDDD"/>
          </w:tcPr>
          <w:p>
            <w:pPr>
              <w:jc w:val="right"/>
              <w:ind w:right="200"/>
              <w:spacing w:after="0"/>
              <w:rPr>
                <w:sz w:val="20"/>
                <w:szCs w:val="20"/>
                <w:color w:val="auto"/>
              </w:rPr>
            </w:pPr>
            <w:r>
              <w:rPr>
                <w:rFonts w:ascii="Arial" w:cs="Arial" w:eastAsia="Arial" w:hAnsi="Arial"/>
                <w:sz w:val="14"/>
                <w:szCs w:val="14"/>
                <w:color w:val="auto"/>
              </w:rPr>
              <w:t>0.07%</w:t>
            </w:r>
          </w:p>
        </w:tc>
        <w:tc>
          <w:tcPr>
            <w:tcW w:w="162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(0.32)%</w:t>
            </w:r>
          </w:p>
        </w:tc>
      </w:tr>
      <w:tr>
        <w:trPr>
          <w:trHeight w:val="231"/>
        </w:trPr>
        <w:tc>
          <w:tcPr>
            <w:tcW w:w="1960" w:type="dxa"/>
            <w:vAlign w:val="bottom"/>
            <w:gridSpan w:val="3"/>
          </w:tcPr>
          <w:p>
            <w:pPr>
              <w:jc w:val="right"/>
              <w:ind w:right="160"/>
              <w:spacing w:after="0"/>
              <w:rPr>
                <w:sz w:val="20"/>
                <w:szCs w:val="20"/>
                <w:color w:val="auto"/>
              </w:rPr>
            </w:pPr>
            <w:r>
              <w:rPr>
                <w:rFonts w:ascii="Arial" w:cs="Arial" w:eastAsia="Arial" w:hAnsi="Arial"/>
                <w:sz w:val="14"/>
                <w:szCs w:val="14"/>
                <w:color w:val="auto"/>
              </w:rPr>
              <w:t>(1.70)%</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(3.06)%</w:t>
            </w:r>
          </w:p>
        </w:tc>
      </w:tr>
      <w:tr>
        <w:trPr>
          <w:trHeight w:val="39"/>
        </w:trPr>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0"/>
        </w:trPr>
        <w:tc>
          <w:tcPr>
            <w:tcW w:w="1960" w:type="dxa"/>
            <w:vAlign w:val="bottom"/>
            <w:tcBorders>
              <w:bottom w:val="single" w:sz="8" w:color="DDDDDD"/>
            </w:tcBorders>
            <w:gridSpan w:val="3"/>
            <w:shd w:val="clear" w:color="auto" w:fill="DDDDDD"/>
          </w:tcPr>
          <w:p>
            <w:pPr>
              <w:jc w:val="right"/>
              <w:ind w:right="160"/>
              <w:spacing w:after="0"/>
              <w:rPr>
                <w:sz w:val="20"/>
                <w:szCs w:val="20"/>
                <w:color w:val="auto"/>
              </w:rPr>
            </w:pPr>
            <w:r>
              <w:rPr>
                <w:rFonts w:ascii="Arial" w:cs="Arial" w:eastAsia="Arial" w:hAnsi="Arial"/>
                <w:sz w:val="14"/>
                <w:szCs w:val="14"/>
                <w:color w:val="auto"/>
              </w:rPr>
              <w:t>(2.77)%</w:t>
            </w:r>
          </w:p>
        </w:tc>
        <w:tc>
          <w:tcPr>
            <w:tcW w:w="162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(1.94)%</w:t>
            </w:r>
          </w:p>
        </w:tc>
      </w:tr>
      <w:tr>
        <w:trPr>
          <w:trHeight w:val="231"/>
        </w:trPr>
        <w:tc>
          <w:tcPr>
            <w:tcW w:w="1960" w:type="dxa"/>
            <w:vAlign w:val="bottom"/>
            <w:gridSpan w:val="3"/>
          </w:tcPr>
          <w:p>
            <w:pPr>
              <w:jc w:val="right"/>
              <w:ind w:right="160"/>
              <w:spacing w:after="0"/>
              <w:rPr>
                <w:sz w:val="20"/>
                <w:szCs w:val="20"/>
                <w:color w:val="auto"/>
              </w:rPr>
            </w:pPr>
            <w:r>
              <w:rPr>
                <w:rFonts w:ascii="Arial" w:cs="Arial" w:eastAsia="Arial" w:hAnsi="Arial"/>
                <w:sz w:val="14"/>
                <w:szCs w:val="14"/>
                <w:color w:val="auto"/>
              </w:rPr>
              <w:t>(18.76)%</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(21.16)%</w:t>
            </w:r>
          </w:p>
        </w:tc>
      </w:tr>
      <w:tr>
        <w:trPr>
          <w:trHeight w:val="39"/>
        </w:trPr>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0"/>
        </w:trPr>
        <w:tc>
          <w:tcPr>
            <w:tcW w:w="220" w:type="dxa"/>
            <w:vAlign w:val="bottom"/>
            <w:tcBorders>
              <w:bottom w:val="single" w:sz="8" w:color="DDDDDD"/>
            </w:tcBorders>
            <w:shd w:val="clear" w:color="auto" w:fill="DDDDDD"/>
          </w:tcPr>
          <w:p>
            <w:pPr>
              <w:spacing w:after="0"/>
              <w:rPr>
                <w:sz w:val="21"/>
                <w:szCs w:val="21"/>
                <w:color w:val="auto"/>
              </w:rPr>
            </w:pPr>
          </w:p>
        </w:tc>
        <w:tc>
          <w:tcPr>
            <w:tcW w:w="1740" w:type="dxa"/>
            <w:vAlign w:val="bottom"/>
            <w:tcBorders>
              <w:bottom w:val="single" w:sz="8" w:color="DDDDDD"/>
            </w:tcBorders>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0.07%</w:t>
            </w:r>
          </w:p>
        </w:tc>
        <w:tc>
          <w:tcPr>
            <w:tcW w:w="162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0.08%</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8"/>
        </w:trPr>
        <w:tc>
          <w:tcPr>
            <w:tcW w:w="22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auto"/>
              </w:rPr>
              <w:t>(2.00)%</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(4.23)%</w:t>
            </w:r>
          </w:p>
        </w:tc>
      </w:tr>
      <w:tr>
        <w:trPr>
          <w:trHeight w:val="39"/>
        </w:trPr>
        <w:tc>
          <w:tcPr>
            <w:tcW w:w="2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20"/>
        </w:trPr>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580"/>
          </w:cols>
          <w:pgMar w:left="320" w:top="459" w:right="439" w:bottom="1440" w:gutter="0" w:footer="0" w:header="0"/>
          <w:type w:val="continuous"/>
        </w:sectPr>
      </w:pPr>
    </w:p>
    <w:p>
      <w:pPr>
        <w:spacing w:after="0" w:line="29"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Significant components of the net deferred tax assets (liabilities) for the years ended December 31, 2019 and 2020 consisted of the following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30"/>
        </w:trPr>
        <w:tc>
          <w:tcPr>
            <w:tcW w:w="7880" w:type="dxa"/>
            <w:vAlign w:val="bottom"/>
            <w:tcBorders>
              <w:top w:val="single" w:sz="8" w:color="DDDDDD"/>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Deferred tax assets:</w:t>
            </w:r>
          </w:p>
        </w:tc>
        <w:tc>
          <w:tcPr>
            <w:tcW w:w="100" w:type="dxa"/>
            <w:vAlign w:val="bottom"/>
            <w:tcBorders>
              <w:top w:val="single" w:sz="8" w:color="DDDDDD"/>
              <w:bottom w:val="single" w:sz="8" w:color="DDDDDD"/>
            </w:tcBorders>
            <w:shd w:val="clear" w:color="auto" w:fill="DDDDDD"/>
          </w:tcPr>
          <w:p>
            <w:pPr>
              <w:spacing w:after="0"/>
              <w:rPr>
                <w:sz w:val="20"/>
                <w:szCs w:val="20"/>
                <w:color w:val="auto"/>
              </w:rPr>
            </w:pPr>
          </w:p>
        </w:tc>
        <w:tc>
          <w:tcPr>
            <w:tcW w:w="860" w:type="dxa"/>
            <w:vAlign w:val="bottom"/>
            <w:tcBorders>
              <w:top w:val="single" w:sz="8" w:color="auto"/>
              <w:bottom w:val="single" w:sz="8" w:color="DDDDDD"/>
            </w:tcBorders>
            <w:shd w:val="clear" w:color="auto" w:fill="DDDDDD"/>
          </w:tcPr>
          <w:p>
            <w:pPr>
              <w:spacing w:after="0"/>
              <w:rPr>
                <w:sz w:val="20"/>
                <w:szCs w:val="20"/>
                <w:color w:val="auto"/>
              </w:rPr>
            </w:pPr>
          </w:p>
        </w:tc>
        <w:tc>
          <w:tcPr>
            <w:tcW w:w="520" w:type="dxa"/>
            <w:vAlign w:val="bottom"/>
            <w:tcBorders>
              <w:top w:val="single" w:sz="8" w:color="auto"/>
              <w:bottom w:val="single" w:sz="8" w:color="DDDDDD"/>
            </w:tcBorders>
            <w:shd w:val="clear" w:color="auto" w:fill="DDDDDD"/>
          </w:tcPr>
          <w:p>
            <w:pPr>
              <w:spacing w:after="0"/>
              <w:rPr>
                <w:sz w:val="20"/>
                <w:szCs w:val="20"/>
                <w:color w:val="auto"/>
              </w:rPr>
            </w:pPr>
          </w:p>
        </w:tc>
        <w:tc>
          <w:tcPr>
            <w:tcW w:w="200" w:type="dxa"/>
            <w:vAlign w:val="bottom"/>
            <w:tcBorders>
              <w:top w:val="single" w:sz="8" w:color="DDDDDD"/>
              <w:bottom w:val="single" w:sz="8" w:color="DDDDDD"/>
            </w:tcBorders>
            <w:shd w:val="clear" w:color="auto" w:fill="DDDDDD"/>
          </w:tcPr>
          <w:p>
            <w:pPr>
              <w:spacing w:after="0"/>
              <w:rPr>
                <w:sz w:val="20"/>
                <w:szCs w:val="20"/>
                <w:color w:val="auto"/>
              </w:rPr>
            </w:pPr>
          </w:p>
        </w:tc>
        <w:tc>
          <w:tcPr>
            <w:tcW w:w="300" w:type="dxa"/>
            <w:vAlign w:val="bottom"/>
            <w:tcBorders>
              <w:top w:val="single" w:sz="8" w:color="auto"/>
              <w:bottom w:val="single" w:sz="8" w:color="DDDDDD"/>
            </w:tcBorders>
            <w:shd w:val="clear" w:color="auto" w:fill="DDDDDD"/>
          </w:tcPr>
          <w:p>
            <w:pPr>
              <w:spacing w:after="0"/>
              <w:rPr>
                <w:sz w:val="20"/>
                <w:szCs w:val="20"/>
                <w:color w:val="auto"/>
              </w:rPr>
            </w:pPr>
          </w:p>
        </w:tc>
        <w:tc>
          <w:tcPr>
            <w:tcW w:w="1060" w:type="dxa"/>
            <w:vAlign w:val="bottom"/>
            <w:tcBorders>
              <w:top w:val="single" w:sz="8" w:color="auto"/>
              <w:bottom w:val="single" w:sz="8" w:color="DDDDDD"/>
            </w:tcBorders>
            <w:shd w:val="clear" w:color="auto" w:fill="DDDDDD"/>
          </w:tcPr>
          <w:p>
            <w:pPr>
              <w:spacing w:after="0"/>
              <w:rPr>
                <w:sz w:val="20"/>
                <w:szCs w:val="20"/>
                <w:color w:val="auto"/>
              </w:rPr>
            </w:pPr>
          </w:p>
        </w:tc>
        <w:tc>
          <w:tcPr>
            <w:tcW w:w="100" w:type="dxa"/>
            <w:vAlign w:val="bottom"/>
            <w:tcBorders>
              <w:top w:val="single" w:sz="8" w:color="DDDDDD"/>
              <w:bottom w:val="single" w:sz="8" w:color="DDDDDD"/>
            </w:tcBorders>
            <w:shd w:val="clear" w:color="auto" w:fill="DDDDDD"/>
          </w:tcPr>
          <w:p>
            <w:pPr>
              <w:spacing w:after="0"/>
              <w:rPr>
                <w:sz w:val="20"/>
                <w:szCs w:val="20"/>
                <w:color w:val="auto"/>
              </w:rPr>
            </w:pP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Accruals and reserves</w:t>
            </w:r>
          </w:p>
        </w:tc>
        <w:tc>
          <w:tcPr>
            <w:tcW w:w="96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894</w:t>
            </w:r>
          </w:p>
        </w:tc>
        <w:tc>
          <w:tcPr>
            <w:tcW w:w="200" w:type="dxa"/>
            <w:vAlign w:val="bottom"/>
          </w:tcPr>
          <w:p>
            <w:pPr>
              <w:spacing w:after="0"/>
              <w:rPr>
                <w:sz w:val="20"/>
                <w:szCs w:val="20"/>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2,540</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88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Deferred revenue</w:t>
            </w:r>
          </w:p>
        </w:tc>
        <w:tc>
          <w:tcPr>
            <w:tcW w:w="10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1,440</w:t>
            </w:r>
          </w:p>
        </w:tc>
        <w:tc>
          <w:tcPr>
            <w:tcW w:w="200" w:type="dxa"/>
            <w:vAlign w:val="bottom"/>
            <w:tcBorders>
              <w:bottom w:val="single" w:sz="8" w:color="DDDDDD"/>
            </w:tcBorders>
            <w:shd w:val="clear" w:color="auto" w:fill="DDDDDD"/>
          </w:tcPr>
          <w:p>
            <w:pPr>
              <w:spacing w:after="0"/>
              <w:rPr>
                <w:sz w:val="21"/>
                <w:szCs w:val="21"/>
                <w:color w:val="auto"/>
              </w:rPr>
            </w:pPr>
          </w:p>
        </w:tc>
        <w:tc>
          <w:tcPr>
            <w:tcW w:w="300" w:type="dxa"/>
            <w:vAlign w:val="bottom"/>
            <w:tcBorders>
              <w:bottom w:val="single" w:sz="8" w:color="DDDDDD"/>
            </w:tcBorders>
            <w:shd w:val="clear" w:color="auto" w:fill="DDDDDD"/>
          </w:tcPr>
          <w:p>
            <w:pPr>
              <w:spacing w:after="0"/>
              <w:rPr>
                <w:sz w:val="21"/>
                <w:szCs w:val="21"/>
                <w:color w:val="auto"/>
              </w:rPr>
            </w:pPr>
          </w:p>
        </w:tc>
        <w:tc>
          <w:tcPr>
            <w:tcW w:w="11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29,807</w:t>
            </w: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Net operating loss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49,782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37,053</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88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887</w:t>
            </w:r>
          </w:p>
        </w:tc>
        <w:tc>
          <w:tcPr>
            <w:tcW w:w="200" w:type="dxa"/>
            <w:vAlign w:val="bottom"/>
            <w:tcBorders>
              <w:bottom w:val="single" w:sz="8" w:color="DDDDDD"/>
            </w:tcBorders>
            <w:shd w:val="clear" w:color="auto" w:fill="DDDDDD"/>
          </w:tcPr>
          <w:p>
            <w:pPr>
              <w:spacing w:after="0"/>
              <w:rPr>
                <w:sz w:val="21"/>
                <w:szCs w:val="21"/>
                <w:color w:val="auto"/>
              </w:rPr>
            </w:pPr>
          </w:p>
        </w:tc>
        <w:tc>
          <w:tcPr>
            <w:tcW w:w="300" w:type="dxa"/>
            <w:vAlign w:val="bottom"/>
            <w:tcBorders>
              <w:bottom w:val="single" w:sz="8" w:color="DDDDDD"/>
            </w:tcBorders>
            <w:shd w:val="clear" w:color="auto" w:fill="DDDDDD"/>
          </w:tcPr>
          <w:p>
            <w:pPr>
              <w:spacing w:after="0"/>
              <w:rPr>
                <w:sz w:val="21"/>
                <w:szCs w:val="21"/>
                <w:color w:val="auto"/>
              </w:rPr>
            </w:pPr>
          </w:p>
        </w:tc>
        <w:tc>
          <w:tcPr>
            <w:tcW w:w="11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1,487</w:t>
            </w: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Indirect tax reserves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5,682</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88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1,427</w:t>
            </w:r>
          </w:p>
        </w:tc>
        <w:tc>
          <w:tcPr>
            <w:tcW w:w="200" w:type="dxa"/>
            <w:vAlign w:val="bottom"/>
            <w:tcBorders>
              <w:bottom w:val="single" w:sz="8" w:color="DDDDDD"/>
            </w:tcBorders>
            <w:shd w:val="clear" w:color="auto" w:fill="DDDDDD"/>
          </w:tcPr>
          <w:p>
            <w:pPr>
              <w:spacing w:after="0"/>
              <w:rPr>
                <w:sz w:val="21"/>
                <w:szCs w:val="21"/>
                <w:color w:val="auto"/>
              </w:rPr>
            </w:pPr>
          </w:p>
        </w:tc>
        <w:tc>
          <w:tcPr>
            <w:tcW w:w="300" w:type="dxa"/>
            <w:vAlign w:val="bottom"/>
            <w:tcBorders>
              <w:bottom w:val="single" w:sz="8" w:color="DDDDDD"/>
            </w:tcBorders>
            <w:shd w:val="clear" w:color="auto" w:fill="DDDDDD"/>
          </w:tcPr>
          <w:p>
            <w:pPr>
              <w:spacing w:after="0"/>
              <w:rPr>
                <w:sz w:val="21"/>
                <w:szCs w:val="21"/>
                <w:color w:val="auto"/>
              </w:rPr>
            </w:pPr>
          </w:p>
        </w:tc>
        <w:tc>
          <w:tcPr>
            <w:tcW w:w="11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1,665</w:t>
            </w: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8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Gross deferred tax assets</w:t>
            </w:r>
          </w:p>
        </w:tc>
        <w:tc>
          <w:tcPr>
            <w:tcW w:w="10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spacing w:after="0"/>
              <w:rPr>
                <w:sz w:val="20"/>
                <w:szCs w:val="20"/>
                <w:color w:val="auto"/>
              </w:rPr>
            </w:pPr>
          </w:p>
        </w:tc>
        <w:tc>
          <w:tcPr>
            <w:tcW w:w="720" w:type="dxa"/>
            <w:vAlign w:val="bottom"/>
            <w:tcBorders>
              <w:bottom w:val="single" w:sz="8" w:color="DDDDDD"/>
            </w:tcBorders>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61,641</w:t>
            </w:r>
          </w:p>
        </w:tc>
        <w:tc>
          <w:tcPr>
            <w:tcW w:w="300" w:type="dxa"/>
            <w:vAlign w:val="bottom"/>
            <w:tcBorders>
              <w:bottom w:val="single" w:sz="8" w:color="DDDDDD"/>
            </w:tcBorders>
            <w:shd w:val="clear" w:color="auto" w:fill="DDDDDD"/>
          </w:tcPr>
          <w:p>
            <w:pPr>
              <w:spacing w:after="0"/>
              <w:rPr>
                <w:sz w:val="20"/>
                <w:szCs w:val="20"/>
                <w:color w:val="auto"/>
              </w:rPr>
            </w:pPr>
          </w:p>
        </w:tc>
        <w:tc>
          <w:tcPr>
            <w:tcW w:w="11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78,533</w:t>
            </w: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Valuation allowance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(56,263)</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(69,766)</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88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Total deferred tax assets</w:t>
            </w:r>
          </w:p>
        </w:tc>
        <w:tc>
          <w:tcPr>
            <w:tcW w:w="100" w:type="dxa"/>
            <w:vAlign w:val="bottom"/>
            <w:tcBorders>
              <w:bottom w:val="single" w:sz="8" w:color="DDDDDD"/>
            </w:tcBorders>
            <w:shd w:val="clear" w:color="auto" w:fill="DDDDDD"/>
          </w:tcPr>
          <w:p>
            <w:pPr>
              <w:spacing w:after="0"/>
              <w:rPr>
                <w:sz w:val="22"/>
                <w:szCs w:val="22"/>
                <w:color w:val="auto"/>
              </w:rPr>
            </w:pPr>
          </w:p>
        </w:tc>
        <w:tc>
          <w:tcPr>
            <w:tcW w:w="860" w:type="dxa"/>
            <w:vAlign w:val="bottom"/>
            <w:tcBorders>
              <w:bottom w:val="single" w:sz="8" w:color="DDDDDD"/>
            </w:tcBorders>
            <w:shd w:val="clear" w:color="auto" w:fill="DDDDDD"/>
          </w:tcPr>
          <w:p>
            <w:pPr>
              <w:spacing w:after="0"/>
              <w:rPr>
                <w:sz w:val="22"/>
                <w:szCs w:val="22"/>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5,378</w:t>
            </w:r>
          </w:p>
        </w:tc>
        <w:tc>
          <w:tcPr>
            <w:tcW w:w="200" w:type="dxa"/>
            <w:vAlign w:val="bottom"/>
            <w:tcBorders>
              <w:bottom w:val="single" w:sz="8" w:color="DDDDDD"/>
            </w:tcBorders>
            <w:shd w:val="clear" w:color="auto" w:fill="DDDDDD"/>
          </w:tcPr>
          <w:p>
            <w:pPr>
              <w:spacing w:after="0"/>
              <w:rPr>
                <w:sz w:val="22"/>
                <w:szCs w:val="22"/>
                <w:color w:val="auto"/>
              </w:rPr>
            </w:pPr>
          </w:p>
        </w:tc>
        <w:tc>
          <w:tcPr>
            <w:tcW w:w="300" w:type="dxa"/>
            <w:vAlign w:val="bottom"/>
            <w:tcBorders>
              <w:bottom w:val="single" w:sz="8" w:color="DDDDDD"/>
            </w:tcBorders>
            <w:shd w:val="clear" w:color="auto" w:fill="DDDDDD"/>
          </w:tcPr>
          <w:p>
            <w:pPr>
              <w:spacing w:after="0"/>
              <w:rPr>
                <w:sz w:val="22"/>
                <w:szCs w:val="22"/>
                <w:color w:val="auto"/>
              </w:rPr>
            </w:pPr>
          </w:p>
        </w:tc>
        <w:tc>
          <w:tcPr>
            <w:tcW w:w="11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8,757</w:t>
            </w:r>
          </w:p>
        </w:tc>
      </w:tr>
      <w:tr>
        <w:trPr>
          <w:trHeight w:val="238"/>
        </w:trPr>
        <w:tc>
          <w:tcPr>
            <w:tcW w:w="788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88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Deferred contract costs</w:t>
            </w:r>
          </w:p>
        </w:tc>
        <w:tc>
          <w:tcPr>
            <w:tcW w:w="10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(3,144)</w:t>
            </w:r>
          </w:p>
        </w:tc>
        <w:tc>
          <w:tcPr>
            <w:tcW w:w="300" w:type="dxa"/>
            <w:vAlign w:val="bottom"/>
            <w:tcBorders>
              <w:bottom w:val="single" w:sz="8" w:color="DDDDDD"/>
            </w:tcBorders>
            <w:shd w:val="clear" w:color="auto" w:fill="DDDDDD"/>
          </w:tcPr>
          <w:p>
            <w:pPr>
              <w:spacing w:after="0"/>
              <w:rPr>
                <w:sz w:val="21"/>
                <w:szCs w:val="21"/>
                <w:color w:val="auto"/>
              </w:rPr>
            </w:pPr>
          </w:p>
        </w:tc>
        <w:tc>
          <w:tcPr>
            <w:tcW w:w="116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(5,774)</w:t>
            </w:r>
          </w:p>
        </w:tc>
      </w:tr>
      <w:tr>
        <w:trPr>
          <w:trHeight w:val="231"/>
        </w:trPr>
        <w:tc>
          <w:tcPr>
            <w:tcW w:w="7880" w:type="dxa"/>
            <w:vAlign w:val="bottom"/>
          </w:tcPr>
          <w:p>
            <w:pPr>
              <w:spacing w:after="0"/>
              <w:rPr>
                <w:sz w:val="20"/>
                <w:szCs w:val="20"/>
                <w:color w:val="auto"/>
              </w:rPr>
            </w:pPr>
            <w:r>
              <w:rPr>
                <w:rFonts w:ascii="Arial" w:cs="Arial" w:eastAsia="Arial" w:hAnsi="Arial"/>
                <w:sz w:val="14"/>
                <w:szCs w:val="14"/>
                <w:color w:val="auto"/>
              </w:rPr>
              <w:t>Other deferred tax liabilities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(2,234)</w:t>
            </w:r>
          </w:p>
        </w:tc>
        <w:tc>
          <w:tcPr>
            <w:tcW w:w="3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(3,132)</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8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Total deferred tax liabilities</w:t>
            </w:r>
          </w:p>
        </w:tc>
        <w:tc>
          <w:tcPr>
            <w:tcW w:w="10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spacing w:after="0"/>
              <w:rPr>
                <w:sz w:val="20"/>
                <w:szCs w:val="20"/>
                <w:color w:val="auto"/>
              </w:rPr>
            </w:pPr>
          </w:p>
        </w:tc>
        <w:tc>
          <w:tcPr>
            <w:tcW w:w="72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(5,378)</w:t>
            </w:r>
          </w:p>
        </w:tc>
        <w:tc>
          <w:tcPr>
            <w:tcW w:w="300" w:type="dxa"/>
            <w:vAlign w:val="bottom"/>
            <w:tcBorders>
              <w:bottom w:val="single" w:sz="8" w:color="DDDDDD"/>
            </w:tcBorders>
            <w:shd w:val="clear" w:color="auto" w:fill="DDDDDD"/>
          </w:tcPr>
          <w:p>
            <w:pPr>
              <w:spacing w:after="0"/>
              <w:rPr>
                <w:sz w:val="20"/>
                <w:szCs w:val="20"/>
                <w:color w:val="auto"/>
              </w:rPr>
            </w:pPr>
          </w:p>
        </w:tc>
        <w:tc>
          <w:tcPr>
            <w:tcW w:w="1160" w:type="dxa"/>
            <w:vAlign w:val="bottom"/>
            <w:tcBorders>
              <w:bottom w:val="single" w:sz="8" w:color="DDDDDD"/>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(8,906)</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880" w:type="dxa"/>
            <w:vAlign w:val="bottom"/>
          </w:tcPr>
          <w:p>
            <w:pPr>
              <w:spacing w:after="0"/>
              <w:rPr>
                <w:sz w:val="20"/>
                <w:szCs w:val="20"/>
                <w:color w:val="auto"/>
              </w:rPr>
            </w:pPr>
            <w:r>
              <w:rPr>
                <w:rFonts w:ascii="Arial" w:cs="Arial" w:eastAsia="Arial" w:hAnsi="Arial"/>
                <w:sz w:val="14"/>
                <w:szCs w:val="14"/>
                <w:color w:val="auto"/>
              </w:rPr>
              <w:t>Net deferred tax liabilities</w:t>
            </w:r>
          </w:p>
        </w:tc>
        <w:tc>
          <w:tcPr>
            <w:tcW w:w="100" w:type="dxa"/>
            <w:vAlign w:val="bottom"/>
          </w:tcPr>
          <w:p>
            <w:pPr>
              <w:spacing w:after="0"/>
              <w:rPr>
                <w:sz w:val="20"/>
                <w:szCs w:val="20"/>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r>
      <w:tr>
        <w:trPr>
          <w:trHeight w:val="39"/>
        </w:trPr>
        <w:tc>
          <w:tcPr>
            <w:tcW w:w="7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w:t>
      </w:r>
    </w:p>
    <w:p>
      <w:pPr>
        <w:sectPr>
          <w:pgSz w:w="11900" w:h="16838" w:orient="portrait"/>
          <w:cols w:equalWidth="0" w:num="1">
            <w:col w:w="11140"/>
          </w:cols>
          <w:pgMar w:left="320" w:top="459" w:right="439" w:bottom="1440" w:gutter="0" w:footer="0" w:header="0"/>
          <w:type w:val="continuous"/>
        </w:sectPr>
      </w:pPr>
    </w:p>
    <w:p>
      <w:pPr>
        <w:spacing w:after="0" w:line="138"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40"/>
          </w:cols>
          <w:pgMar w:left="320" w:top="459" w:right="43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As of December 31, 2019 and 2020, the Company has established a valuation allowance of $56.3 million and $69.8 million, respectively, against its gross deferred tax assets due to the uncertainty surrounding the realization of such assets. The change in total valuation allowance from 2019 to 2020 was an increase of $13.5 million.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 had $167.0 million of federal net operating loss (“NOL”) carryforwards. The $85.4 million of</w:t>
      </w:r>
    </w:p>
    <w:p>
      <w:pPr>
        <w:ind w:left="120"/>
        <w:spacing w:after="0" w:line="234" w:lineRule="auto"/>
        <w:rPr>
          <w:sz w:val="20"/>
          <w:szCs w:val="20"/>
          <w:color w:val="auto"/>
        </w:rPr>
      </w:pPr>
      <w:r>
        <w:rPr>
          <w:rFonts w:ascii="Arial" w:cs="Arial" w:eastAsia="Arial" w:hAnsi="Arial"/>
          <w:sz w:val="18"/>
          <w:szCs w:val="18"/>
          <w:color w:val="auto"/>
        </w:rPr>
        <w:t>federal NOL carryforwards generated in taxable years beginning prior to January 1, 2018 begin expiring in 2030, if not utilized. The</w:t>
      </w:r>
    </w:p>
    <w:p>
      <w:pPr>
        <w:ind w:left="120"/>
        <w:spacing w:after="0" w:line="235" w:lineRule="auto"/>
        <w:rPr>
          <w:sz w:val="20"/>
          <w:szCs w:val="20"/>
          <w:color w:val="auto"/>
        </w:rPr>
      </w:pPr>
      <w:r>
        <w:rPr>
          <w:rFonts w:ascii="Arial" w:cs="Arial" w:eastAsia="Arial" w:hAnsi="Arial"/>
          <w:sz w:val="18"/>
          <w:szCs w:val="18"/>
          <w:color w:val="auto"/>
        </w:rPr>
        <w:t>$81.6 million of federal NOL carryforwards generated in taxable years beginning after December 31, 2017 have an indefinite carryforward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period, but are subject to the 80% deduction limitation based upon pre-NOL deduction taxable income.</w:t>
      </w:r>
    </w:p>
    <w:p>
      <w:pPr>
        <w:spacing w:after="0" w:line="212"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As of December 31, 2020, the Company had $29.9 million of state NOL carryforwards. The state NOL carryforwards begin expiring in 2023, if not utilized.</w:t>
      </w:r>
    </w:p>
    <w:p>
      <w:pPr>
        <w:spacing w:after="0" w:line="197"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As of December 31, 2020, the Company had U.S. federal and state research and development (“R&amp;D”) tax credit carryforwards of $5.2 million and $ 5.4 million, respectively. The federal research and development tax credit carryforwards will expire in various amounts beginning in 2030 while the state research and development tax credit carryforwards can be carried forward indefinitely.</w:t>
      </w:r>
    </w:p>
    <w:p>
      <w:pPr>
        <w:spacing w:after="0" w:line="20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utilization of the Company’s net operating losses may be subject to a limitation due to the “ownership change” provisions under Section 382 of the Internal Revenue Code and similar state and foreign provisions. Such limitation may result in the expiration of the net operating loss carryforwards generated before 2018 before their utilization. The Company has performed a Section 382 study to determine any potential Section 382 limitations on the utilization of its net operating loss carryforwards and tax credit carryforwards and has determined that the Company experienced two ownership changes with the Company’s Series A and A-1 preferred stock offering in September 2011 and with the Company’s Series B preferred stock offering in November 2012. The Company has estimated that the gross U.S. federal NOL carryforwards from 2010 to 2012 that would be subject to limitation are approximately $3.6 million.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r>
        <w:rPr>
          <w:rFonts w:ascii="Arial" w:cs="Arial" w:eastAsia="Arial" w:hAnsi="Arial"/>
          <w:sz w:val="18"/>
          <w:szCs w:val="18"/>
          <w:color w:val="auto"/>
        </w:rPr>
        <w:t>—As of December 31, 2019 and 2020, the Company had gross unrecognized tax benefits of $0.1 million and</w:t>
      </w:r>
    </w:p>
    <w:p>
      <w:pPr>
        <w:spacing w:after="0" w:line="1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$10.6 million, respectively, related to federal and state R&amp;D tax credits. The Company has not performed a formal R&amp;D tax credit analysis and thus has reserved against the entire amount of its federal and state R&amp;D tax credit carryforwards. The Company’s tax position of such credits is not more likely than not to be sustained upon examination. The Company has recorded an uncertain tax position related to the deferred tax asset recognized for these credits.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balance of unrecognized tax benefit is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6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DDDDDD"/>
            </w:tcBorders>
          </w:tcPr>
          <w:p>
            <w:pPr>
              <w:spacing w:after="0"/>
              <w:rPr>
                <w:sz w:val="15"/>
                <w:szCs w:val="15"/>
                <w:color w:val="auto"/>
              </w:rPr>
            </w:pPr>
          </w:p>
        </w:tc>
      </w:tr>
      <w:tr>
        <w:trPr>
          <w:trHeight w:val="196"/>
        </w:trPr>
        <w:tc>
          <w:tcPr>
            <w:tcW w:w="7600" w:type="dxa"/>
            <w:vAlign w:val="bottom"/>
            <w:shd w:val="clear" w:color="auto" w:fill="DDDDDD"/>
          </w:tcPr>
          <w:p>
            <w:pPr>
              <w:spacing w:after="0"/>
              <w:rPr>
                <w:sz w:val="20"/>
                <w:szCs w:val="20"/>
                <w:color w:val="auto"/>
              </w:rPr>
            </w:pPr>
            <w:r>
              <w:rPr>
                <w:rFonts w:ascii="Arial" w:cs="Arial" w:eastAsia="Arial" w:hAnsi="Arial"/>
                <w:sz w:val="14"/>
                <w:szCs w:val="14"/>
                <w:color w:val="auto"/>
              </w:rPr>
              <w:t>Gross unrecognized tax benefits at the beginning of the year</w:t>
            </w:r>
          </w:p>
        </w:tc>
        <w:tc>
          <w:tcPr>
            <w:tcW w:w="1220" w:type="dxa"/>
            <w:vAlign w:val="bottom"/>
            <w:gridSpan w:val="2"/>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146</w:t>
            </w:r>
          </w:p>
        </w:tc>
        <w:tc>
          <w:tcPr>
            <w:tcW w:w="4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146</w:t>
            </w:r>
          </w:p>
        </w:tc>
        <w:tc>
          <w:tcPr>
            <w:tcW w:w="60" w:type="dxa"/>
            <w:vAlign w:val="bottom"/>
            <w:shd w:val="clear" w:color="auto" w:fill="DDDDDD"/>
          </w:tcPr>
          <w:p>
            <w:pPr>
              <w:spacing w:after="0"/>
              <w:rPr>
                <w:sz w:val="17"/>
                <w:szCs w:val="17"/>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Increases related to prior year tax positions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7,006</w:t>
            </w:r>
          </w:p>
        </w:tc>
        <w:tc>
          <w:tcPr>
            <w:tcW w:w="60" w:type="dxa"/>
            <w:vAlign w:val="bottom"/>
          </w:tcPr>
          <w:p>
            <w:pPr>
              <w:spacing w:after="0"/>
              <w:rPr>
                <w:sz w:val="14"/>
                <w:szCs w:val="14"/>
                <w:color w:val="auto"/>
              </w:rPr>
            </w:pPr>
          </w:p>
        </w:tc>
      </w:tr>
      <w:tr>
        <w:trPr>
          <w:trHeight w:val="216"/>
        </w:trPr>
        <w:tc>
          <w:tcPr>
            <w:tcW w:w="7600" w:type="dxa"/>
            <w:vAlign w:val="bottom"/>
            <w:shd w:val="clear" w:color="auto" w:fill="DDDDDD"/>
          </w:tcPr>
          <w:p>
            <w:pPr>
              <w:spacing w:after="0"/>
              <w:rPr>
                <w:sz w:val="20"/>
                <w:szCs w:val="20"/>
                <w:color w:val="auto"/>
              </w:rPr>
            </w:pPr>
            <w:r>
              <w:rPr>
                <w:rFonts w:ascii="Arial" w:cs="Arial" w:eastAsia="Arial" w:hAnsi="Arial"/>
                <w:sz w:val="14"/>
                <w:szCs w:val="14"/>
                <w:color w:val="auto"/>
              </w:rPr>
              <w:t>Increases related to current year tax positions</w:t>
            </w:r>
          </w:p>
        </w:tc>
        <w:tc>
          <w:tcPr>
            <w:tcW w:w="10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5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3,428</w:t>
            </w:r>
          </w:p>
        </w:tc>
        <w:tc>
          <w:tcPr>
            <w:tcW w:w="60" w:type="dxa"/>
            <w:vAlign w:val="bottom"/>
            <w:shd w:val="clear" w:color="auto" w:fill="DDDDDD"/>
          </w:tcPr>
          <w:p>
            <w:pPr>
              <w:spacing w:after="0"/>
              <w:rPr>
                <w:sz w:val="18"/>
                <w:szCs w:val="18"/>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Statute of limitations expirations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7600" w:type="dxa"/>
            <w:vAlign w:val="bottom"/>
            <w:shd w:val="clear" w:color="auto" w:fill="DDDDDD"/>
          </w:tcPr>
          <w:p>
            <w:pPr>
              <w:spacing w:after="0"/>
              <w:rPr>
                <w:sz w:val="20"/>
                <w:szCs w:val="20"/>
                <w:color w:val="auto"/>
              </w:rPr>
            </w:pPr>
            <w:r>
              <w:rPr>
                <w:rFonts w:ascii="Arial" w:cs="Arial" w:eastAsia="Arial" w:hAnsi="Arial"/>
                <w:sz w:val="14"/>
                <w:szCs w:val="14"/>
                <w:color w:val="auto"/>
              </w:rPr>
              <w:t>Gross unrecognized tax benefits at the end of the year</w:t>
            </w:r>
          </w:p>
        </w:tc>
        <w:tc>
          <w:tcPr>
            <w:tcW w:w="1220" w:type="dxa"/>
            <w:vAlign w:val="bottom"/>
            <w:gridSpan w:val="2"/>
            <w:shd w:val="clear" w:color="auto" w:fill="DDDDDD"/>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146</w:t>
            </w:r>
          </w:p>
        </w:tc>
        <w:tc>
          <w:tcPr>
            <w:tcW w:w="4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10,580</w:t>
            </w:r>
          </w:p>
        </w:tc>
        <w:tc>
          <w:tcPr>
            <w:tcW w:w="60" w:type="dxa"/>
            <w:vAlign w:val="bottom"/>
            <w:shd w:val="clear" w:color="auto" w:fill="DDDDDD"/>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is currently unaware of uncertain tax positions that could result in significant additional payments, accruals, or other material deviation in the next 12 months. The Company currently does not record interest and penalties, if any, related to unrecognized tax benefits. None of the unrecognized tax benefits as of December 31, 2019 and 2020, if recognized in a future period, would affect the Company’s effective tax rate.</w:t>
      </w:r>
    </w:p>
    <w:p>
      <w:pPr>
        <w:spacing w:after="0" w:line="20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Company files income tax returns in U.S. federal, and certain state and foreign jurisdictions with varying statutes of limitations. Due to NOL carryforwards and tax credit carryforwards, the statutes of limitations remain open for tax years from inception of the Company through 2020. There are currently no income tax audits underway by U.S. federal, state, or foreign tax authorities.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Company does not expect that future undistributed foreign earnings will be subject to U.S. federal or state, or foreign withholding tax since the Company intends to continue reinvesting such earnings outside the U.S. indefinitely.</w:t>
      </w:r>
    </w:p>
    <w:p>
      <w:pPr>
        <w:spacing w:after="0" w:line="19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Intended to provide economic relief to those impacted by the COVID-19 pandemic, the Coronavirus Aid, Relief, and Economic Security Act (“CARES Act”) was enacted on March 27, 2020 and includes provisions, among others, addressing the carryback of net operating losses for specific periods, refunds of alternative minimum tax credits, temporary modifications to the limitations placed on the tax deductibility of net interest expenses, and technical amendments for qualified improvement property. Additionally, the CARES Act, in efforts to enhance business’ liquidity, provides for refundable employee retention tax credits and the deferral of the employer-paid portion of social security taxes. Under the CARES Act, the Company deferred $2.6 million related to the employer portion of social security taxes during the year ended December 31,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Six Months Ended June 30, 2020 and 2021 (Unaudited)</w:t>
      </w:r>
    </w:p>
    <w:p>
      <w:pPr>
        <w:spacing w:after="0" w:line="23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provision or benefit from income taxes for interim periods is determined using an estimate of our annual effective tax rate, adjusted for discrete items, if any, that are taken into consideration in the relevant period. Each quarter, the Company updates the estimate of the annual effective tax rate, and if the estimated tax rate changes, the Company records a cumulative adjustment to the provision.</w:t>
      </w:r>
    </w:p>
    <w:p>
      <w:pPr>
        <w:spacing w:after="0" w:line="20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Company had an effective tax rate of (3.5)% and (3.7)% for the six months ended June 30, 2020 and 2021 (unaudited), respectively. The effective tax rate differs from the U.S. statutory tax rate primarily due to the valuation allowances on the Company’s deferred tax assets as it is more likely than not that some or all of the Company’s deferred tax assets will not be realized.</w:t>
      </w:r>
    </w:p>
    <w:p>
      <w:pPr>
        <w:spacing w:after="0" w:line="20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As of June 30, 2021 (unaudited), the Company has maintained a full valuation allowance against its federal and state deferred tax assets. Management continues to evaluate the realizability of deferred tax assets and the related valuation allowance. If management’s assessment of the deferred tax assets or the corresponding valuation allowance were to change, the Company would record the related adjustment to income during the period in which management makes the determination.</w:t>
      </w:r>
    </w:p>
    <w:p>
      <w:pPr>
        <w:spacing w:after="0" w:line="20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Company recognizes interest and penalties associated with uncertain tax benefits as part of the income tax provision. To date, the Company has not recognized any interest and penalties in its condensed consolidated statements of operations, nor has it accrued for or made payments for interest and penalties.</w:t>
      </w:r>
    </w:p>
    <w:p>
      <w:pPr>
        <w:spacing w:after="0" w:line="198"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Employee retirement plan</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Company maintains a 401(k) retirement savings plan covering eligible employees. Employee contributions to the plan consist of a percentage based on eligible employee compensation. The Company matches 25% of an employee’s contribution up to 6% of the employee’s compensation, with a cap of $500 annually, subject to a two-year graded vesting schedule that vests 50% after an employee’s first year of employment and 100% after two years of employment. The Company contributed $0.2 million and $0.2 million to the plan for the years ended December 31, 2019 and 2020, respectively, and $0.2 million and $0.3 million for the six months ended June 30, 2020 and 2021 (unaudited), respectively.</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Related party transactions</w:t>
      </w:r>
    </w:p>
    <w:p>
      <w:pPr>
        <w:spacing w:after="0" w:line="13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Naspers Ltd. (“Naspers”) is affiliated with OLX Group B.V., where a member of the Company’s Board of Directors serves as an executive officer, and Prosus N.V., where another member of the Company’s Board of Directors serves as an executive officer. Naspers is also customer of the Company’s Enterprise subscription offering. The Company recorded $0.8 million and $1.3 million of revenue from services provided to this customer during the years ended December 31, 2019 and 2020, respectively. As of December 31, 2019 and 2020, the Company had outstanding accounts receivable balances of $0.4 million and $0.3 million, respectively, from this customer. The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Company recorded $0.5 million and $0.6 million of revenue from this customer during the six months ended June 30, 2020 and 2021 (unaudited), respectively, and the accounts receivable balance with this customer as of June 30, 2021 (unaudited) was zero.</w:t>
      </w:r>
    </w:p>
    <w:p>
      <w:pPr>
        <w:spacing w:after="0" w:line="19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From February 2019 to November 2019, the Company was party to an arrangement with the Stripes Group pursuant to which the Company received services from Jeff Pedersen, an operating partner of the Stripes Group, as the interim chief financial officer. The Stripes Group is affiliated with Stripes III, LP, a stockholder of the Company. During 2019, the Company recorded approximately $ 0.3 million in general and administrative expenses for these services. No related services were provided in 2020, or in the six months ended June 30, 2021 (unaudited).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Redeemable convertible preferred stock</w:t>
      </w:r>
    </w:p>
    <w:p>
      <w:pPr>
        <w:spacing w:after="0" w:line="130" w:lineRule="exact"/>
        <w:rPr>
          <w:sz w:val="20"/>
          <w:szCs w:val="20"/>
          <w:color w:val="auto"/>
        </w:rPr>
      </w:pPr>
    </w:p>
    <w:p>
      <w:pPr>
        <w:ind w:left="120" w:right="760"/>
        <w:spacing w:after="0"/>
        <w:rPr>
          <w:sz w:val="20"/>
          <w:szCs w:val="20"/>
          <w:color w:val="auto"/>
        </w:rPr>
      </w:pPr>
      <w:r>
        <w:rPr>
          <w:rFonts w:ascii="Arial" w:cs="Arial" w:eastAsia="Arial" w:hAnsi="Arial"/>
          <w:sz w:val="18"/>
          <w:szCs w:val="18"/>
          <w:color w:val="auto"/>
        </w:rPr>
        <w:t>Under its Amended and Restated Certificate of Incorporation dated November 9, 2020, the Company is authorized to issue 236,348,646 shares of capital stock, comprising 150,000,000 shares of common stock and 86,438,646 of redeemable convertible preferred stock. All classes of the Company’s stock have a $0.00001 par value.</w:t>
      </w:r>
    </w:p>
    <w:p>
      <w:pPr>
        <w:spacing w:after="0" w:line="20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Redeemable convertible preferred stock is recorded at the issuance price, net of issuance costs. The Company’s redeemable convertible preferred stock consisted of the following (amounts in thousands, except share and per share amounts):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3"/>
                <w:szCs w:val="13"/>
                <w:color w:val="auto"/>
              </w:rPr>
            </w:pPr>
          </w:p>
        </w:tc>
        <w:tc>
          <w:tcPr>
            <w:tcW w:w="82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Issuance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7"/>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Issued and</w:t>
            </w:r>
          </w:p>
        </w:tc>
        <w:tc>
          <w:tcPr>
            <w:tcW w:w="140" w:type="dxa"/>
            <w:vAlign w:val="bottom"/>
          </w:tcPr>
          <w:p>
            <w:pPr>
              <w:spacing w:after="0"/>
              <w:rPr>
                <w:sz w:val="11"/>
                <w:szCs w:val="11"/>
                <w:color w:val="auto"/>
              </w:rPr>
            </w:pPr>
          </w:p>
        </w:tc>
        <w:tc>
          <w:tcPr>
            <w:tcW w:w="8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5"/>
              </w:rPr>
              <w:t>Price Per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Liquidation</w:t>
            </w:r>
          </w:p>
        </w:tc>
      </w:tr>
      <w:tr>
        <w:trPr>
          <w:trHeight w:val="157"/>
        </w:trPr>
        <w:tc>
          <w:tcPr>
            <w:tcW w:w="4960" w:type="dxa"/>
            <w:vAlign w:val="bottom"/>
            <w:tcBorders>
              <w:bottom w:val="single" w:sz="8" w:color="DDDDDD"/>
            </w:tcBorders>
          </w:tcPr>
          <w:p>
            <w:pPr>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DDDDDD"/>
            </w:tcBorders>
          </w:tcPr>
          <w:p>
            <w:pPr>
              <w:spacing w:after="0"/>
              <w:rPr>
                <w:sz w:val="13"/>
                <w:szCs w:val="13"/>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Authorized</w:t>
            </w:r>
          </w:p>
        </w:tc>
        <w:tc>
          <w:tcPr>
            <w:tcW w:w="140" w:type="dxa"/>
            <w:vAlign w:val="bottom"/>
            <w:tcBorders>
              <w:bottom w:val="single" w:sz="8" w:color="DDDDDD"/>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Borders>
              <w:bottom w:val="single" w:sz="8" w:color="DDDDDD"/>
            </w:tcBorders>
          </w:tcPr>
          <w:p>
            <w:pPr>
              <w:spacing w:after="0"/>
              <w:rPr>
                <w:sz w:val="13"/>
                <w:szCs w:val="13"/>
                <w:color w:val="auto"/>
              </w:rPr>
            </w:pPr>
          </w:p>
        </w:tc>
        <w:tc>
          <w:tcPr>
            <w:tcW w:w="82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99"/>
              </w:rPr>
              <w:t>Share</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Value</w:t>
            </w:r>
          </w:p>
        </w:tc>
        <w:tc>
          <w:tcPr>
            <w:tcW w:w="140" w:type="dxa"/>
            <w:vAlign w:val="bottom"/>
            <w:tcBorders>
              <w:bottom w:val="single" w:sz="8" w:color="DDDDDD"/>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Value</w:t>
            </w:r>
          </w:p>
        </w:tc>
        <w:tc>
          <w:tcPr>
            <w:tcW w:w="60" w:type="dxa"/>
            <w:vAlign w:val="bottom"/>
            <w:tcBorders>
              <w:bottom w:val="single" w:sz="8" w:color="DDDDDD"/>
            </w:tcBorders>
          </w:tcPr>
          <w:p>
            <w:pPr>
              <w:spacing w:after="0"/>
              <w:rPr>
                <w:sz w:val="13"/>
                <w:szCs w:val="13"/>
                <w:color w:val="auto"/>
              </w:rPr>
            </w:pPr>
          </w:p>
        </w:tc>
      </w:tr>
      <w:tr>
        <w:trPr>
          <w:trHeight w:val="169"/>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A</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8,483,166</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8,483,166</w:t>
            </w:r>
          </w:p>
        </w:tc>
        <w:tc>
          <w:tcPr>
            <w:tcW w:w="960" w:type="dxa"/>
            <w:vAlign w:val="bottom"/>
            <w:gridSpan w:val="2"/>
            <w:shd w:val="clear" w:color="auto" w:fill="DDDDDD"/>
          </w:tcPr>
          <w:p>
            <w:pPr>
              <w:jc w:val="right"/>
              <w:ind w:right="677"/>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w w:val="86"/>
              </w:rPr>
              <w:t>0.24</w:t>
            </w:r>
          </w:p>
        </w:tc>
        <w:tc>
          <w:tcPr>
            <w:tcW w:w="2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2,010</w:t>
            </w:r>
          </w:p>
        </w:tc>
        <w:tc>
          <w:tcPr>
            <w:tcW w:w="260" w:type="dxa"/>
            <w:vAlign w:val="bottom"/>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2,050</w:t>
            </w:r>
          </w:p>
        </w:tc>
        <w:tc>
          <w:tcPr>
            <w:tcW w:w="60" w:type="dxa"/>
            <w:vAlign w:val="bottom"/>
            <w:shd w:val="clear" w:color="auto" w:fill="DDDDDD"/>
          </w:tcPr>
          <w:p>
            <w:pPr>
              <w:spacing w:after="0"/>
              <w:rPr>
                <w:sz w:val="14"/>
                <w:szCs w:val="14"/>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A-1</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15,295,184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15,132,282</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5,765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2,966</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B</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22,956,103</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22,956,103</w:t>
            </w:r>
          </w:p>
        </w:tc>
        <w:tc>
          <w:tcPr>
            <w:tcW w:w="1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3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w w:val="86"/>
              </w:rPr>
              <w:t>0.54</w:t>
            </w:r>
          </w:p>
        </w:tc>
        <w:tc>
          <w:tcPr>
            <w:tcW w:w="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12,230</w:t>
            </w: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12,310</w:t>
            </w:r>
          </w:p>
        </w:tc>
        <w:tc>
          <w:tcPr>
            <w:tcW w:w="60" w:type="dxa"/>
            <w:vAlign w:val="bottom"/>
            <w:shd w:val="clear" w:color="auto" w:fill="DDDDDD"/>
          </w:tcPr>
          <w:p>
            <w:pPr>
              <w:spacing w:after="0"/>
              <w:rPr>
                <w:sz w:val="16"/>
                <w:szCs w:val="16"/>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C</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16,198,348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16,198,348</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31,901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32,000</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D</w:t>
            </w:r>
          </w:p>
        </w:tc>
        <w:tc>
          <w:tcPr>
            <w:tcW w:w="100" w:type="dxa"/>
            <w:vAlign w:val="bottom"/>
            <w:shd w:val="clear" w:color="auto" w:fill="DDDDDD"/>
          </w:tcPr>
          <w:p>
            <w:pPr>
              <w:spacing w:after="0"/>
              <w:rPr>
                <w:sz w:val="16"/>
                <w:szCs w:val="16"/>
                <w:color w:val="auto"/>
              </w:rPr>
            </w:pPr>
          </w:p>
        </w:tc>
        <w:tc>
          <w:tcPr>
            <w:tcW w:w="11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16,702,584</w:t>
            </w:r>
          </w:p>
        </w:tc>
        <w:tc>
          <w:tcPr>
            <w:tcW w:w="140" w:type="dxa"/>
            <w:vAlign w:val="bottom"/>
            <w:shd w:val="clear" w:color="auto" w:fill="DDDDDD"/>
          </w:tcPr>
          <w:p>
            <w:pPr>
              <w:spacing w:after="0"/>
              <w:rPr>
                <w:sz w:val="16"/>
                <w:szCs w:val="16"/>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16,702,584</w:t>
            </w:r>
          </w:p>
        </w:tc>
        <w:tc>
          <w:tcPr>
            <w:tcW w:w="1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3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w w:val="86"/>
              </w:rPr>
              <w:t>6.22</w:t>
            </w:r>
          </w:p>
        </w:tc>
        <w:tc>
          <w:tcPr>
            <w:tcW w:w="80" w:type="dxa"/>
            <w:vAlign w:val="bottom"/>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103,739</w:t>
            </w:r>
          </w:p>
        </w:tc>
        <w:tc>
          <w:tcPr>
            <w:tcW w:w="140" w:type="dxa"/>
            <w:vAlign w:val="bottom"/>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103,852</w:t>
            </w:r>
          </w:p>
        </w:tc>
        <w:tc>
          <w:tcPr>
            <w:tcW w:w="60" w:type="dxa"/>
            <w:vAlign w:val="bottom"/>
            <w:shd w:val="clear" w:color="auto" w:fill="DDDDDD"/>
          </w:tcPr>
          <w:p>
            <w:pPr>
              <w:spacing w:after="0"/>
              <w:rPr>
                <w:sz w:val="16"/>
                <w:szCs w:val="16"/>
                <w:color w:val="auto"/>
              </w:rPr>
            </w:pPr>
          </w:p>
        </w:tc>
      </w:tr>
      <w:tr>
        <w:trPr>
          <w:trHeight w:val="142"/>
        </w:trPr>
        <w:tc>
          <w:tcPr>
            <w:tcW w:w="4960" w:type="dxa"/>
            <w:vAlign w:val="bottom"/>
          </w:tcPr>
          <w:p>
            <w:pPr>
              <w:spacing w:after="0" w:line="142" w:lineRule="exact"/>
              <w:rPr>
                <w:sz w:val="20"/>
                <w:szCs w:val="20"/>
                <w:color w:val="auto"/>
              </w:rPr>
            </w:pPr>
            <w:r>
              <w:rPr>
                <w:rFonts w:ascii="Arial" w:cs="Arial" w:eastAsia="Arial" w:hAnsi="Arial"/>
                <w:sz w:val="13"/>
                <w:szCs w:val="13"/>
                <w:color w:val="auto"/>
              </w:rPr>
              <w:t>Total</w:t>
            </w:r>
          </w:p>
        </w:tc>
        <w:tc>
          <w:tcPr>
            <w:tcW w:w="1220" w:type="dxa"/>
            <w:vAlign w:val="bottom"/>
            <w:gridSpan w:val="2"/>
          </w:tcPr>
          <w:p>
            <w:pPr>
              <w:jc w:val="right"/>
              <w:ind w:right="17"/>
              <w:spacing w:after="0" w:line="142" w:lineRule="exact"/>
              <w:rPr>
                <w:sz w:val="20"/>
                <w:szCs w:val="20"/>
                <w:color w:val="auto"/>
              </w:rPr>
            </w:pPr>
            <w:r>
              <w:rPr>
                <w:rFonts w:ascii="Arial" w:cs="Arial" w:eastAsia="Arial" w:hAnsi="Arial"/>
                <w:sz w:val="13"/>
                <w:szCs w:val="13"/>
                <w:color w:val="auto"/>
              </w:rPr>
              <w:t>79,635,385</w:t>
            </w:r>
          </w:p>
        </w:tc>
        <w:tc>
          <w:tcPr>
            <w:tcW w:w="1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79,472,483</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155,645</w:t>
            </w:r>
          </w:p>
        </w:tc>
        <w:tc>
          <w:tcPr>
            <w:tcW w:w="2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153,178</w:t>
            </w:r>
          </w:p>
        </w:tc>
        <w:tc>
          <w:tcPr>
            <w:tcW w:w="60" w:type="dxa"/>
            <w:vAlign w:val="bottom"/>
          </w:tcPr>
          <w:p>
            <w:pPr>
              <w:spacing w:after="0"/>
              <w:rPr>
                <w:sz w:val="12"/>
                <w:szCs w:val="12"/>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Issuance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7"/>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Issued and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 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Liquidation</w:t>
            </w:r>
          </w:p>
        </w:tc>
      </w:tr>
      <w:tr>
        <w:trPr>
          <w:trHeight w:val="157"/>
        </w:trPr>
        <w:tc>
          <w:tcPr>
            <w:tcW w:w="4960" w:type="dxa"/>
            <w:vAlign w:val="bottom"/>
            <w:tcBorders>
              <w:bottom w:val="single" w:sz="8" w:color="DDDDDD"/>
            </w:tcBorders>
          </w:tcPr>
          <w:p>
            <w:pPr>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DDDDDD"/>
            </w:tcBorders>
          </w:tcPr>
          <w:p>
            <w:pPr>
              <w:spacing w:after="0"/>
              <w:rPr>
                <w:sz w:val="13"/>
                <w:szCs w:val="13"/>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Authorized</w:t>
            </w:r>
          </w:p>
        </w:tc>
        <w:tc>
          <w:tcPr>
            <w:tcW w:w="140" w:type="dxa"/>
            <w:vAlign w:val="bottom"/>
            <w:tcBorders>
              <w:bottom w:val="single" w:sz="8" w:color="DDDDDD"/>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Borders>
              <w:bottom w:val="single" w:sz="8" w:color="DDDDDD"/>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9"/>
              </w:rPr>
              <w:t>Share</w:t>
            </w:r>
          </w:p>
        </w:tc>
        <w:tc>
          <w:tcPr>
            <w:tcW w:w="8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Value</w:t>
            </w:r>
          </w:p>
        </w:tc>
        <w:tc>
          <w:tcPr>
            <w:tcW w:w="140" w:type="dxa"/>
            <w:vAlign w:val="bottom"/>
            <w:tcBorders>
              <w:bottom w:val="single" w:sz="8" w:color="DDDDDD"/>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Value</w:t>
            </w:r>
          </w:p>
        </w:tc>
        <w:tc>
          <w:tcPr>
            <w:tcW w:w="60" w:type="dxa"/>
            <w:vAlign w:val="bottom"/>
            <w:tcBorders>
              <w:bottom w:val="single" w:sz="8" w:color="DDDDDD"/>
            </w:tcBorders>
          </w:tcPr>
          <w:p>
            <w:pPr>
              <w:spacing w:after="0"/>
              <w:rPr>
                <w:sz w:val="13"/>
                <w:szCs w:val="13"/>
                <w:color w:val="auto"/>
              </w:rPr>
            </w:pPr>
          </w:p>
        </w:tc>
      </w:tr>
      <w:tr>
        <w:trPr>
          <w:trHeight w:val="169"/>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A</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8,483,166</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8,483,166</w:t>
            </w:r>
          </w:p>
        </w:tc>
        <w:tc>
          <w:tcPr>
            <w:tcW w:w="320" w:type="dxa"/>
            <w:vAlign w:val="bottom"/>
            <w:gridSpan w:val="2"/>
            <w:shd w:val="clear" w:color="auto" w:fill="DDDDDD"/>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0.24</w:t>
            </w:r>
          </w:p>
        </w:tc>
        <w:tc>
          <w:tcPr>
            <w:tcW w:w="2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2,010</w:t>
            </w:r>
          </w:p>
        </w:tc>
        <w:tc>
          <w:tcPr>
            <w:tcW w:w="260" w:type="dxa"/>
            <w:vAlign w:val="bottom"/>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2,050</w:t>
            </w:r>
          </w:p>
        </w:tc>
        <w:tc>
          <w:tcPr>
            <w:tcW w:w="60" w:type="dxa"/>
            <w:vAlign w:val="bottom"/>
            <w:shd w:val="clear" w:color="auto" w:fill="DDDDDD"/>
          </w:tcPr>
          <w:p>
            <w:pPr>
              <w:spacing w:after="0"/>
              <w:rPr>
                <w:sz w:val="14"/>
                <w:szCs w:val="14"/>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A-1</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15,295,184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15,132,282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5,765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2,966</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B</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22,956,103</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22,956,103</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0.54</w:t>
            </w:r>
          </w:p>
        </w:tc>
        <w:tc>
          <w:tcPr>
            <w:tcW w:w="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12,230</w:t>
            </w: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12,310</w:t>
            </w:r>
          </w:p>
        </w:tc>
        <w:tc>
          <w:tcPr>
            <w:tcW w:w="60" w:type="dxa"/>
            <w:vAlign w:val="bottom"/>
            <w:shd w:val="clear" w:color="auto" w:fill="DDDDDD"/>
          </w:tcPr>
          <w:p>
            <w:pPr>
              <w:spacing w:after="0"/>
              <w:rPr>
                <w:sz w:val="16"/>
                <w:szCs w:val="16"/>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C</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16,198,348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16,198,348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31,901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32,000</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D</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16,702,584</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16,702,584</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6.22</w:t>
            </w:r>
          </w:p>
        </w:tc>
        <w:tc>
          <w:tcPr>
            <w:tcW w:w="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103,739</w:t>
            </w: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103,852</w:t>
            </w:r>
          </w:p>
        </w:tc>
        <w:tc>
          <w:tcPr>
            <w:tcW w:w="60" w:type="dxa"/>
            <w:vAlign w:val="bottom"/>
            <w:shd w:val="clear" w:color="auto" w:fill="DDDDDD"/>
          </w:tcPr>
          <w:p>
            <w:pPr>
              <w:spacing w:after="0"/>
              <w:rPr>
                <w:sz w:val="16"/>
                <w:szCs w:val="16"/>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E</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2,569,043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2,569,043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15.57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39,948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40,000</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F</w:t>
            </w:r>
          </w:p>
        </w:tc>
        <w:tc>
          <w:tcPr>
            <w:tcW w:w="100" w:type="dxa"/>
            <w:vAlign w:val="bottom"/>
            <w:shd w:val="clear" w:color="auto" w:fill="DDDDDD"/>
          </w:tcPr>
          <w:p>
            <w:pPr>
              <w:spacing w:after="0"/>
              <w:rPr>
                <w:sz w:val="16"/>
                <w:szCs w:val="16"/>
                <w:color w:val="auto"/>
              </w:rPr>
            </w:pPr>
          </w:p>
        </w:tc>
        <w:tc>
          <w:tcPr>
            <w:tcW w:w="11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4,144,218</w:t>
            </w:r>
          </w:p>
        </w:tc>
        <w:tc>
          <w:tcPr>
            <w:tcW w:w="140" w:type="dxa"/>
            <w:vAlign w:val="bottom"/>
            <w:shd w:val="clear" w:color="auto" w:fill="DDDDDD"/>
          </w:tcPr>
          <w:p>
            <w:pPr>
              <w:spacing w:after="0"/>
              <w:rPr>
                <w:sz w:val="16"/>
                <w:szCs w:val="16"/>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3,349,812</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78,511</w:t>
            </w:r>
          </w:p>
        </w:tc>
        <w:tc>
          <w:tcPr>
            <w:tcW w:w="140" w:type="dxa"/>
            <w:vAlign w:val="bottom"/>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80,831</w:t>
            </w:r>
          </w:p>
        </w:tc>
        <w:tc>
          <w:tcPr>
            <w:tcW w:w="60" w:type="dxa"/>
            <w:vAlign w:val="bottom"/>
            <w:shd w:val="clear" w:color="auto" w:fill="DDDDDD"/>
          </w:tcPr>
          <w:p>
            <w:pPr>
              <w:spacing w:after="0"/>
              <w:rPr>
                <w:sz w:val="16"/>
                <w:szCs w:val="16"/>
                <w:color w:val="auto"/>
              </w:rPr>
            </w:pPr>
          </w:p>
        </w:tc>
      </w:tr>
      <w:tr>
        <w:trPr>
          <w:trHeight w:val="142"/>
        </w:trPr>
        <w:tc>
          <w:tcPr>
            <w:tcW w:w="4960" w:type="dxa"/>
            <w:vAlign w:val="bottom"/>
          </w:tcPr>
          <w:p>
            <w:pPr>
              <w:spacing w:after="0" w:line="142" w:lineRule="exact"/>
              <w:rPr>
                <w:sz w:val="20"/>
                <w:szCs w:val="20"/>
                <w:color w:val="auto"/>
              </w:rPr>
            </w:pPr>
            <w:r>
              <w:rPr>
                <w:rFonts w:ascii="Arial" w:cs="Arial" w:eastAsia="Arial" w:hAnsi="Arial"/>
                <w:sz w:val="13"/>
                <w:szCs w:val="13"/>
                <w:color w:val="auto"/>
              </w:rPr>
              <w:t>Total</w:t>
            </w:r>
          </w:p>
        </w:tc>
        <w:tc>
          <w:tcPr>
            <w:tcW w:w="1220" w:type="dxa"/>
            <w:vAlign w:val="bottom"/>
            <w:gridSpan w:val="2"/>
          </w:tcPr>
          <w:p>
            <w:pPr>
              <w:jc w:val="right"/>
              <w:ind w:right="17"/>
              <w:spacing w:after="0" w:line="142" w:lineRule="exact"/>
              <w:rPr>
                <w:sz w:val="20"/>
                <w:szCs w:val="20"/>
                <w:color w:val="auto"/>
              </w:rPr>
            </w:pPr>
            <w:r>
              <w:rPr>
                <w:rFonts w:ascii="Arial" w:cs="Arial" w:eastAsia="Arial" w:hAnsi="Arial"/>
                <w:sz w:val="13"/>
                <w:szCs w:val="13"/>
                <w:color w:val="auto"/>
              </w:rPr>
              <w:t>86,348,646</w:t>
            </w:r>
          </w:p>
        </w:tc>
        <w:tc>
          <w:tcPr>
            <w:tcW w:w="1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85,391,338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274,104</w:t>
            </w:r>
          </w:p>
        </w:tc>
        <w:tc>
          <w:tcPr>
            <w:tcW w:w="2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274,009</w:t>
            </w:r>
          </w:p>
        </w:tc>
        <w:tc>
          <w:tcPr>
            <w:tcW w:w="60" w:type="dxa"/>
            <w:vAlign w:val="bottom"/>
          </w:tcPr>
          <w:p>
            <w:pPr>
              <w:spacing w:after="0"/>
              <w:rPr>
                <w:sz w:val="12"/>
                <w:szCs w:val="12"/>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Issuance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7"/>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Shares Issued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 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Liquidation</w:t>
            </w:r>
          </w:p>
        </w:tc>
      </w:tr>
      <w:tr>
        <w:trPr>
          <w:trHeight w:val="157"/>
        </w:trPr>
        <w:tc>
          <w:tcPr>
            <w:tcW w:w="4960" w:type="dxa"/>
            <w:vAlign w:val="bottom"/>
            <w:tcBorders>
              <w:bottom w:val="single" w:sz="8" w:color="DDDDDD"/>
            </w:tcBorders>
          </w:tcPr>
          <w:p>
            <w:pPr>
              <w:spacing w:after="0"/>
              <w:rPr>
                <w:sz w:val="20"/>
                <w:szCs w:val="20"/>
                <w:color w:val="auto"/>
              </w:rPr>
            </w:pPr>
            <w:r>
              <w:rPr>
                <w:rFonts w:ascii="Arial" w:cs="Arial" w:eastAsia="Arial" w:hAnsi="Arial"/>
                <w:sz w:val="13"/>
                <w:szCs w:val="13"/>
                <w:b w:val="1"/>
                <w:bCs w:val="1"/>
                <w:color w:val="auto"/>
              </w:rPr>
              <w:t>June 30, 2021 (unaudited)</w:t>
            </w:r>
          </w:p>
        </w:tc>
        <w:tc>
          <w:tcPr>
            <w:tcW w:w="100" w:type="dxa"/>
            <w:vAlign w:val="bottom"/>
            <w:tcBorders>
              <w:bottom w:val="single" w:sz="8" w:color="DDDDDD"/>
            </w:tcBorders>
          </w:tcPr>
          <w:p>
            <w:pPr>
              <w:spacing w:after="0"/>
              <w:rPr>
                <w:sz w:val="13"/>
                <w:szCs w:val="13"/>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Authorized</w:t>
            </w:r>
          </w:p>
        </w:tc>
        <w:tc>
          <w:tcPr>
            <w:tcW w:w="140" w:type="dxa"/>
            <w:vAlign w:val="bottom"/>
            <w:tcBorders>
              <w:bottom w:val="single" w:sz="8" w:color="DDDDDD"/>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and Outstanding</w:t>
            </w:r>
          </w:p>
        </w:tc>
        <w:tc>
          <w:tcPr>
            <w:tcW w:w="140" w:type="dxa"/>
            <w:vAlign w:val="bottom"/>
            <w:tcBorders>
              <w:bottom w:val="single" w:sz="8" w:color="DDDDDD"/>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9"/>
              </w:rPr>
              <w:t>Share</w:t>
            </w:r>
          </w:p>
        </w:tc>
        <w:tc>
          <w:tcPr>
            <w:tcW w:w="8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Value</w:t>
            </w:r>
          </w:p>
        </w:tc>
        <w:tc>
          <w:tcPr>
            <w:tcW w:w="140" w:type="dxa"/>
            <w:vAlign w:val="bottom"/>
            <w:tcBorders>
              <w:bottom w:val="single" w:sz="8" w:color="DDDDDD"/>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Value</w:t>
            </w:r>
          </w:p>
        </w:tc>
        <w:tc>
          <w:tcPr>
            <w:tcW w:w="60" w:type="dxa"/>
            <w:vAlign w:val="bottom"/>
            <w:tcBorders>
              <w:bottom w:val="single" w:sz="8" w:color="DDDDDD"/>
            </w:tcBorders>
          </w:tcPr>
          <w:p>
            <w:pPr>
              <w:spacing w:after="0"/>
              <w:rPr>
                <w:sz w:val="13"/>
                <w:szCs w:val="13"/>
                <w:color w:val="auto"/>
              </w:rPr>
            </w:pPr>
          </w:p>
        </w:tc>
      </w:tr>
      <w:tr>
        <w:trPr>
          <w:trHeight w:val="169"/>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A</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8,483,166</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8,483,166</w:t>
            </w:r>
          </w:p>
        </w:tc>
        <w:tc>
          <w:tcPr>
            <w:tcW w:w="320" w:type="dxa"/>
            <w:vAlign w:val="bottom"/>
            <w:gridSpan w:val="2"/>
            <w:shd w:val="clear" w:color="auto" w:fill="DDDDDD"/>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0.24</w:t>
            </w:r>
          </w:p>
        </w:tc>
        <w:tc>
          <w:tcPr>
            <w:tcW w:w="22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2,010</w:t>
            </w:r>
          </w:p>
        </w:tc>
        <w:tc>
          <w:tcPr>
            <w:tcW w:w="260" w:type="dxa"/>
            <w:vAlign w:val="bottom"/>
            <w:gridSpan w:val="2"/>
            <w:shd w:val="clear" w:color="auto" w:fill="DDDDDD"/>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2,050</w:t>
            </w:r>
          </w:p>
        </w:tc>
        <w:tc>
          <w:tcPr>
            <w:tcW w:w="60" w:type="dxa"/>
            <w:vAlign w:val="bottom"/>
            <w:shd w:val="clear" w:color="auto" w:fill="DDDDDD"/>
          </w:tcPr>
          <w:p>
            <w:pPr>
              <w:spacing w:after="0"/>
              <w:rPr>
                <w:sz w:val="14"/>
                <w:szCs w:val="14"/>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A-1</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15,295,184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15,144,877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5,928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2,968</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B</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22,956,103</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22,956,103</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0.54</w:t>
            </w:r>
          </w:p>
        </w:tc>
        <w:tc>
          <w:tcPr>
            <w:tcW w:w="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12,230</w:t>
            </w: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12,310</w:t>
            </w:r>
          </w:p>
        </w:tc>
        <w:tc>
          <w:tcPr>
            <w:tcW w:w="60" w:type="dxa"/>
            <w:vAlign w:val="bottom"/>
            <w:shd w:val="clear" w:color="auto" w:fill="DDDDDD"/>
          </w:tcPr>
          <w:p>
            <w:pPr>
              <w:spacing w:after="0"/>
              <w:rPr>
                <w:sz w:val="16"/>
                <w:szCs w:val="16"/>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C</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16,198,348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16,198,348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31,901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32,000</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D</w:t>
            </w:r>
          </w:p>
        </w:tc>
        <w:tc>
          <w:tcPr>
            <w:tcW w:w="122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16,702,584</w:t>
            </w:r>
          </w:p>
        </w:tc>
        <w:tc>
          <w:tcPr>
            <w:tcW w:w="128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16,702,584</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6.22</w:t>
            </w:r>
          </w:p>
        </w:tc>
        <w:tc>
          <w:tcPr>
            <w:tcW w:w="8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6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103,739</w:t>
            </w: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103,852</w:t>
            </w:r>
          </w:p>
        </w:tc>
        <w:tc>
          <w:tcPr>
            <w:tcW w:w="60" w:type="dxa"/>
            <w:vAlign w:val="bottom"/>
            <w:shd w:val="clear" w:color="auto" w:fill="DDDDDD"/>
          </w:tcPr>
          <w:p>
            <w:pPr>
              <w:spacing w:after="0"/>
              <w:rPr>
                <w:sz w:val="16"/>
                <w:szCs w:val="16"/>
                <w:color w:val="auto"/>
              </w:rPr>
            </w:pP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Series E</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2,569,043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2,569,043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15.57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39,948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40,000</w:t>
            </w:r>
          </w:p>
        </w:tc>
        <w:tc>
          <w:tcPr>
            <w:tcW w:w="60" w:type="dxa"/>
            <w:vAlign w:val="bottom"/>
          </w:tcPr>
          <w:p>
            <w:pPr>
              <w:spacing w:after="0"/>
              <w:rPr>
                <w:sz w:val="13"/>
                <w:szCs w:val="13"/>
                <w:color w:val="auto"/>
              </w:rPr>
            </w:pPr>
          </w:p>
        </w:tc>
      </w:tr>
      <w:tr>
        <w:trPr>
          <w:trHeight w:val="194"/>
        </w:trPr>
        <w:tc>
          <w:tcPr>
            <w:tcW w:w="4960" w:type="dxa"/>
            <w:vAlign w:val="bottom"/>
            <w:shd w:val="clear" w:color="auto" w:fill="DDDDDD"/>
          </w:tcPr>
          <w:p>
            <w:pPr>
              <w:spacing w:after="0"/>
              <w:rPr>
                <w:sz w:val="20"/>
                <w:szCs w:val="20"/>
                <w:color w:val="auto"/>
              </w:rPr>
            </w:pPr>
            <w:r>
              <w:rPr>
                <w:rFonts w:ascii="Arial" w:cs="Arial" w:eastAsia="Arial" w:hAnsi="Arial"/>
                <w:sz w:val="13"/>
                <w:szCs w:val="13"/>
                <w:color w:val="auto"/>
              </w:rPr>
              <w:t>Series F</w:t>
            </w:r>
          </w:p>
        </w:tc>
        <w:tc>
          <w:tcPr>
            <w:tcW w:w="100" w:type="dxa"/>
            <w:vAlign w:val="bottom"/>
            <w:shd w:val="clear" w:color="auto" w:fill="DDDDDD"/>
          </w:tcPr>
          <w:p>
            <w:pPr>
              <w:spacing w:after="0"/>
              <w:rPr>
                <w:sz w:val="16"/>
                <w:szCs w:val="16"/>
                <w:color w:val="auto"/>
              </w:rPr>
            </w:pPr>
          </w:p>
        </w:tc>
        <w:tc>
          <w:tcPr>
            <w:tcW w:w="11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4,144,218</w:t>
            </w:r>
          </w:p>
        </w:tc>
        <w:tc>
          <w:tcPr>
            <w:tcW w:w="140" w:type="dxa"/>
            <w:vAlign w:val="bottom"/>
            <w:shd w:val="clear" w:color="auto" w:fill="DDDDDD"/>
          </w:tcPr>
          <w:p>
            <w:pPr>
              <w:spacing w:after="0"/>
              <w:rPr>
                <w:sz w:val="16"/>
                <w:szCs w:val="16"/>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3,349,812</w:t>
            </w:r>
          </w:p>
        </w:tc>
        <w:tc>
          <w:tcPr>
            <w:tcW w:w="14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gridSpan w:val="2"/>
            <w:shd w:val="clear" w:color="auto" w:fill="DDDDDD"/>
          </w:tcPr>
          <w:p>
            <w:pPr>
              <w:jc w:val="right"/>
              <w:ind w:right="80"/>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78,511</w:t>
            </w:r>
          </w:p>
        </w:tc>
        <w:tc>
          <w:tcPr>
            <w:tcW w:w="140" w:type="dxa"/>
            <w:vAlign w:val="bottom"/>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3"/>
                <w:szCs w:val="13"/>
                <w:color w:val="auto"/>
              </w:rPr>
              <w:t>80,831</w:t>
            </w:r>
          </w:p>
        </w:tc>
        <w:tc>
          <w:tcPr>
            <w:tcW w:w="60" w:type="dxa"/>
            <w:vAlign w:val="bottom"/>
            <w:shd w:val="clear" w:color="auto" w:fill="DDDDDD"/>
          </w:tcPr>
          <w:p>
            <w:pPr>
              <w:spacing w:after="0"/>
              <w:rPr>
                <w:sz w:val="16"/>
                <w:szCs w:val="16"/>
                <w:color w:val="auto"/>
              </w:rPr>
            </w:pPr>
          </w:p>
        </w:tc>
      </w:tr>
      <w:tr>
        <w:trPr>
          <w:trHeight w:val="142"/>
        </w:trPr>
        <w:tc>
          <w:tcPr>
            <w:tcW w:w="4960" w:type="dxa"/>
            <w:vAlign w:val="bottom"/>
          </w:tcPr>
          <w:p>
            <w:pPr>
              <w:spacing w:after="0" w:line="142" w:lineRule="exact"/>
              <w:rPr>
                <w:sz w:val="20"/>
                <w:szCs w:val="20"/>
                <w:color w:val="auto"/>
              </w:rPr>
            </w:pPr>
            <w:r>
              <w:rPr>
                <w:rFonts w:ascii="Arial" w:cs="Arial" w:eastAsia="Arial" w:hAnsi="Arial"/>
                <w:sz w:val="13"/>
                <w:szCs w:val="13"/>
                <w:color w:val="auto"/>
              </w:rPr>
              <w:t>Total</w:t>
            </w:r>
          </w:p>
        </w:tc>
        <w:tc>
          <w:tcPr>
            <w:tcW w:w="1220" w:type="dxa"/>
            <w:vAlign w:val="bottom"/>
            <w:gridSpan w:val="2"/>
          </w:tcPr>
          <w:p>
            <w:pPr>
              <w:jc w:val="right"/>
              <w:ind w:right="17"/>
              <w:spacing w:after="0" w:line="142" w:lineRule="exact"/>
              <w:rPr>
                <w:sz w:val="20"/>
                <w:szCs w:val="20"/>
                <w:color w:val="auto"/>
              </w:rPr>
            </w:pPr>
            <w:r>
              <w:rPr>
                <w:rFonts w:ascii="Arial" w:cs="Arial" w:eastAsia="Arial" w:hAnsi="Arial"/>
                <w:sz w:val="13"/>
                <w:szCs w:val="13"/>
                <w:color w:val="auto"/>
              </w:rPr>
              <w:t>86,348,646</w:t>
            </w:r>
          </w:p>
        </w:tc>
        <w:tc>
          <w:tcPr>
            <w:tcW w:w="1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85,403,933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274,267</w:t>
            </w:r>
          </w:p>
        </w:tc>
        <w:tc>
          <w:tcPr>
            <w:tcW w:w="2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42" w:lineRule="exact"/>
              <w:rPr>
                <w:sz w:val="20"/>
                <w:szCs w:val="20"/>
                <w:color w:val="auto"/>
              </w:rPr>
            </w:pPr>
            <w:r>
              <w:rPr>
                <w:rFonts w:ascii="Arial" w:cs="Arial" w:eastAsia="Arial" w:hAnsi="Arial"/>
                <w:sz w:val="13"/>
                <w:szCs w:val="13"/>
                <w:color w:val="auto"/>
              </w:rPr>
              <w:t>274,011</w:t>
            </w:r>
          </w:p>
        </w:tc>
        <w:tc>
          <w:tcPr>
            <w:tcW w:w="60" w:type="dxa"/>
            <w:vAlign w:val="bottom"/>
          </w:tcPr>
          <w:p>
            <w:pPr>
              <w:spacing w:after="0"/>
              <w:rPr>
                <w:sz w:val="12"/>
                <w:szCs w:val="12"/>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rights, preferences, and privileges of the holders of the redeemable convertible preferred stock are as follows:</w:t>
      </w:r>
    </w:p>
    <w:p>
      <w:pPr>
        <w:spacing w:after="0" w:line="190"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—Each share of redeemable convertible preferred stock has voting rights equal to an equivalent number of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into which it is convertible and votes together as one class with the common stock, except as below:</w:t>
      </w:r>
    </w:p>
    <w:p>
      <w:pPr>
        <w:spacing w:after="0" w:line="17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holders of a majority of the Series A, A-1, C and D redeemable convertible preferred stock are entitled to elect, each series voting as a separate class, one member to the Company’s board of directors (the “Board of Directors”). The holders of a majority of Series B redeemable convertible preferred stock are entitled to elect two members to the Board of Directors. The holders of a majority of the common stock are entitled to elect, voting separately as a class, two members to the Board of Directors.</w:t>
      </w:r>
    </w:p>
    <w:p>
      <w:pPr>
        <w:spacing w:after="0" w:line="20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holders of Series A, A-1, B, C, D, E, and F redeemable convertible preferred stock (collectively “Series Preferred”) and common stock, voting together as a single class on an as-converted basis, shall be entitled to elect all remaining directors.</w:t>
      </w:r>
    </w:p>
    <w:p>
      <w:pPr>
        <w:spacing w:after="0" w:line="175"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—Each share of redeemable convertible preferred stock is convertible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of such share, into shares of common stock as is determined by dividing the original purchase price of redeemable convertible preferred stock by the conversion price in effect at the time of conversion for such series of redeemable convertible preferred stock as defined by the Company’s certificate of incorporation, as amended. As of December 31, 2019 and 2020, and June 30, 2021 (unaudited), the conversion ratio for the Series Preferred was one-to-one.</w:t>
      </w:r>
    </w:p>
    <w:p>
      <w:pPr>
        <w:spacing w:after="0" w:line="19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Each share of redeemable convertible preferred stock will automatically be converted into shares of common stock at the then-effective conversion rate of such shares upon the earliest to occur of (i) the closing of a firm commitment underwritten public offering pursuant to an effective registration statement under the Securities Act of 1933, as amended, covering the offer and sale of common stock of the Company to the public with offering proceeds to the Company in excess of $ 50 million (net of underwriters’ discounts, concessions, commissions, and expenses) or (ii) the consent of holders of at least 35% of the then outstanding shares of Series A Preferred and Series A-1 Preferred, voting together as a single class; the holders of a majority of the then outstanding shares of Series A Preferred, voting as a separate class; the holders of a majority of the then outstanding shares of Series B Preferred, voting as a separate class; the holders of a majority of the then outstanding shares of Series C Preferred, voting as a separate class; the holders of at least 60% of the then outstanding shares of Series D Preferred, voting as a separate class; the holders of a majority of the then outstanding shares of Series E Preferred, voting as a separate class; and the holders of at least 80% of the then outstanding shares of Series F Preferred, voting as a separate class, all on an as-converted basis.</w:t>
      </w:r>
    </w:p>
    <w:p>
      <w:pPr>
        <w:spacing w:after="0" w:line="205"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In the event the Company sells its common stock in a firmly underwritten public offering pursuant to a registration statement under the Securities Act in which all of the Series F Preferred Stock are to be converted to common stock, and the actual net initial offering price (the “IPO Price”) to the public is less than $24.13 per share (as adjusted for stock splits, stock dividends, reclassification and the like), then the conversion price for each share of Series F Preferred Stock shall be adjusted immediately prior to the conversion of the Series F Preferred Stock into common stock to a price equal to the IPO Price (as adjusted for stock splits, stock dividends, reclassification and the like).</w:t>
      </w:r>
    </w:p>
    <w:p>
      <w:pPr>
        <w:spacing w:after="0" w:line="168"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b w:val="1"/>
          <w:bCs w:val="1"/>
          <w:i w:val="1"/>
          <w:iCs w:val="1"/>
          <w:color w:val="auto"/>
        </w:rPr>
        <w:t>Liquidation</w:t>
      </w:r>
      <w:r>
        <w:rPr>
          <w:rFonts w:ascii="Arial" w:cs="Arial" w:eastAsia="Arial" w:hAnsi="Arial"/>
          <w:sz w:val="17"/>
          <w:szCs w:val="17"/>
          <w:color w:val="auto"/>
        </w:rPr>
        <w:t>—In the event of any liquidation, dissolution, or winding-up of the Company, the holders of the Series Preferred stock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receive, ratably, prior and in preference to any distribution of the assets or funds of the Company to the holders of the common stock, an amount equal to the issuance price per share as adjusted for any stock dividends, combinations, splits, recapitalizations, and similar transactions, plus any accrued and unpaid dividends and any other declared but unpaid dividends (the “Liquidation Preference”). If the Company has insufficient assets to permit payment of the Liquidation Preference in full to all holders of Series Preferred,</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then the assets of the Company shall be distributed ratably to the holders of Series Preferred in proportion to the Liquidation Preference such holders would otherwise be entitled to receive. After payment of the Liquidation Preference to the holders of redeemable convertible preferred stock, the remaining assets of the Company shall be distributed ratably to the holders of common stock on a fully-converted basis.</w:t>
      </w:r>
    </w:p>
    <w:p>
      <w:pPr>
        <w:spacing w:after="0" w:line="183"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holders of Series Preferred stock shall be entitled to receive, out of any funds legally available, noncumulative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and in preference to any dividends paid on the common stock, as adjusted for stock splits, stock dividends, combinations, recapitalizations, and similar transactions, when, as, and if declared by the Board of Directors. After payment of such dividends on the Series Preferred stock, any additional dividends or distributions shall be distributed among all holders of common stock in proportion to the number of shares of common stock that would be held by each such holder if all shares of redeemable convertible preferred stock were converted to common stock at the then-effective conversion rate. Such dividends are not cumulative. No dividends have been declared or paid on the Company’s redeemable convertible preferred stock.</w:t>
      </w:r>
    </w:p>
    <w:p>
      <w:pPr>
        <w:spacing w:after="0" w:line="18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Company is obligated to redeem the Series Preferred at any time after November 13, 2026, at the election 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by the holder at a price equal to the Series Preferred original issuance price, plus all declared but unpaid dividends thereon. The Series Preferred may also be redeemed upon the occurrence of certain deemed liquidation events, as the majority of the holders could opt to redeem the shares at the liquidation preference upon certain events as defined by the Company’s articles of incorporation, as amended, and include a merger, acquisition or sale of substantially all of the assets.</w:t>
      </w:r>
    </w:p>
    <w:p>
      <w:pPr>
        <w:spacing w:after="0" w:line="19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Changes in the redemption value of the redeemable convertible preferred stock, if any, are recorded in the period occurred as an adjustment to additional paid-in capital in the consolidated balance sheets. The Company does not adjust the carrying values of the redeemable convertible preferred stock to the redemption value until such time as a deemed liquidation event is probable of occurring. As of December 31, 2019 and 2020, and June 30, 2021 (unaudited), the redeemable convertible preferred stock had not been adjusted to its redemption value as it was not probable whether or when a deemed liquidation event would occur.</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Common stock</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stockholders are entitled to one vote per share. The Company has the following common stock reserved for future issuance: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ind w:left="112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June 30,</w:t>
            </w:r>
          </w:p>
        </w:tc>
      </w:tr>
      <w:tr>
        <w:trPr>
          <w:trHeight w:val="128"/>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557"/>
              <w:spacing w:after="0" w:line="129"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2021</w:t>
            </w:r>
          </w:p>
        </w:tc>
        <w:tc>
          <w:tcPr>
            <w:tcW w:w="60" w:type="dxa"/>
            <w:vAlign w:val="bottom"/>
          </w:tcPr>
          <w:p>
            <w:pPr>
              <w:spacing w:after="0"/>
              <w:rPr>
                <w:sz w:val="11"/>
                <w:szCs w:val="11"/>
                <w:color w:val="auto"/>
              </w:rPr>
            </w:pPr>
          </w:p>
        </w:tc>
      </w:tr>
      <w:tr>
        <w:trPr>
          <w:trHeight w:val="128"/>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8"/>
              </w:rPr>
              <w:t>(unaudited)</w:t>
            </w:r>
          </w:p>
        </w:tc>
        <w:tc>
          <w:tcPr>
            <w:tcW w:w="60" w:type="dxa"/>
            <w:vAlign w:val="bottom"/>
          </w:tcPr>
          <w:p>
            <w:pPr>
              <w:spacing w:after="0"/>
              <w:rPr>
                <w:sz w:val="11"/>
                <w:szCs w:val="11"/>
                <w:color w:val="auto"/>
              </w:rPr>
            </w:pPr>
          </w:p>
        </w:tc>
      </w:tr>
      <w:tr>
        <w:trPr>
          <w:trHeight w:val="189"/>
        </w:trPr>
        <w:tc>
          <w:tcPr>
            <w:tcW w:w="6160" w:type="dxa"/>
            <w:vAlign w:val="bottom"/>
            <w:shd w:val="clear" w:color="auto" w:fill="DDDDDD"/>
          </w:tcPr>
          <w:p>
            <w:pPr>
              <w:spacing w:after="0"/>
              <w:rPr>
                <w:sz w:val="20"/>
                <w:szCs w:val="20"/>
                <w:color w:val="auto"/>
              </w:rPr>
            </w:pPr>
            <w:r>
              <w:rPr>
                <w:rFonts w:ascii="Arial" w:cs="Arial" w:eastAsia="Arial" w:hAnsi="Arial"/>
                <w:sz w:val="13"/>
                <w:szCs w:val="13"/>
                <w:color w:val="auto"/>
              </w:rPr>
              <w:t>Conversion of redeemable convertible preferred stock</w:t>
            </w:r>
          </w:p>
        </w:tc>
        <w:tc>
          <w:tcPr>
            <w:tcW w:w="15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79,472,483</w:t>
            </w:r>
          </w:p>
        </w:tc>
        <w:tc>
          <w:tcPr>
            <w:tcW w:w="16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85,391,338</w:t>
            </w:r>
          </w:p>
        </w:tc>
        <w:tc>
          <w:tcPr>
            <w:tcW w:w="164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85,403,933</w:t>
            </w:r>
          </w:p>
        </w:tc>
        <w:tc>
          <w:tcPr>
            <w:tcW w:w="60" w:type="dxa"/>
            <w:vAlign w:val="bottom"/>
            <w:shd w:val="clear" w:color="auto" w:fill="DDDDDD"/>
          </w:tcPr>
          <w:p>
            <w:pPr>
              <w:spacing w:after="0"/>
              <w:rPr>
                <w:sz w:val="16"/>
                <w:szCs w:val="16"/>
                <w:color w:val="auto"/>
              </w:rPr>
            </w:pPr>
          </w:p>
        </w:tc>
      </w:tr>
      <w:tr>
        <w:trPr>
          <w:trHeight w:val="181"/>
        </w:trPr>
        <w:tc>
          <w:tcPr>
            <w:tcW w:w="6160" w:type="dxa"/>
            <w:vAlign w:val="bottom"/>
          </w:tcPr>
          <w:p>
            <w:pPr>
              <w:spacing w:after="0"/>
              <w:rPr>
                <w:sz w:val="20"/>
                <w:szCs w:val="20"/>
                <w:color w:val="auto"/>
              </w:rPr>
            </w:pPr>
            <w:r>
              <w:rPr>
                <w:rFonts w:ascii="Arial" w:cs="Arial" w:eastAsia="Arial" w:hAnsi="Arial"/>
                <w:sz w:val="13"/>
                <w:szCs w:val="13"/>
                <w:color w:val="auto"/>
              </w:rPr>
              <w:t>Warrants for redeemable convertible preferred stock</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12,595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12,595</w:t>
            </w:r>
          </w:p>
        </w:tc>
        <w:tc>
          <w:tcPr>
            <w:tcW w:w="14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97"/>
        </w:trPr>
        <w:tc>
          <w:tcPr>
            <w:tcW w:w="6160" w:type="dxa"/>
            <w:vAlign w:val="bottom"/>
            <w:shd w:val="clear" w:color="auto" w:fill="DDDDDD"/>
          </w:tcPr>
          <w:p>
            <w:pPr>
              <w:spacing w:after="0"/>
              <w:rPr>
                <w:sz w:val="20"/>
                <w:szCs w:val="20"/>
                <w:color w:val="auto"/>
              </w:rPr>
            </w:pPr>
            <w:r>
              <w:rPr>
                <w:rFonts w:ascii="Arial" w:cs="Arial" w:eastAsia="Arial" w:hAnsi="Arial"/>
                <w:sz w:val="13"/>
                <w:szCs w:val="13"/>
                <w:color w:val="auto"/>
              </w:rPr>
              <w:t>Stock options to purchase common stock</w:t>
            </w:r>
            <w:r>
              <w:rPr>
                <w:rFonts w:ascii="Arial" w:cs="Arial" w:eastAsia="Arial" w:hAnsi="Arial"/>
                <w:sz w:val="10"/>
                <w:szCs w:val="10"/>
                <w:color w:val="auto"/>
              </w:rPr>
              <w:t>(1)</w:t>
            </w:r>
          </w:p>
        </w:tc>
        <w:tc>
          <w:tcPr>
            <w:tcW w:w="15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17,880,402</w:t>
            </w:r>
          </w:p>
        </w:tc>
        <w:tc>
          <w:tcPr>
            <w:tcW w:w="16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102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18,932,979</w:t>
            </w:r>
          </w:p>
        </w:tc>
        <w:tc>
          <w:tcPr>
            <w:tcW w:w="164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20,173,022</w:t>
            </w:r>
          </w:p>
        </w:tc>
        <w:tc>
          <w:tcPr>
            <w:tcW w:w="60" w:type="dxa"/>
            <w:vAlign w:val="bottom"/>
            <w:shd w:val="clear" w:color="auto" w:fill="DDDDDD"/>
          </w:tcPr>
          <w:p>
            <w:pPr>
              <w:spacing w:after="0"/>
              <w:rPr>
                <w:sz w:val="17"/>
                <w:szCs w:val="17"/>
                <w:color w:val="auto"/>
              </w:rPr>
            </w:pPr>
          </w:p>
        </w:tc>
      </w:tr>
      <w:tr>
        <w:trPr>
          <w:trHeight w:val="183"/>
        </w:trPr>
        <w:tc>
          <w:tcPr>
            <w:tcW w:w="6160" w:type="dxa"/>
            <w:vAlign w:val="bottom"/>
          </w:tcPr>
          <w:p>
            <w:pPr>
              <w:spacing w:after="0"/>
              <w:rPr>
                <w:sz w:val="20"/>
                <w:szCs w:val="20"/>
                <w:color w:val="auto"/>
              </w:rPr>
            </w:pPr>
            <w:r>
              <w:rPr>
                <w:rFonts w:ascii="Arial" w:cs="Arial" w:eastAsia="Arial" w:hAnsi="Arial"/>
                <w:sz w:val="13"/>
                <w:szCs w:val="13"/>
                <w:color w:val="auto"/>
              </w:rPr>
              <w:t>Stock options available for future issuance</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481,953</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3,917,161</w:t>
            </w:r>
          </w:p>
        </w:tc>
        <w:tc>
          <w:tcPr>
            <w:tcW w:w="1640" w:type="dxa"/>
            <w:vAlign w:val="bottom"/>
            <w:gridSpan w:val="2"/>
          </w:tcPr>
          <w:p>
            <w:pPr>
              <w:jc w:val="right"/>
              <w:ind w:right="17"/>
              <w:spacing w:after="0"/>
              <w:rPr>
                <w:sz w:val="20"/>
                <w:szCs w:val="20"/>
                <w:color w:val="auto"/>
              </w:rPr>
            </w:pPr>
            <w:r>
              <w:rPr>
                <w:rFonts w:ascii="Arial" w:cs="Arial" w:eastAsia="Arial" w:hAnsi="Arial"/>
                <w:sz w:val="13"/>
                <w:szCs w:val="13"/>
                <w:color w:val="auto"/>
              </w:rPr>
              <w:t>772,900</w:t>
            </w:r>
          </w:p>
        </w:tc>
        <w:tc>
          <w:tcPr>
            <w:tcW w:w="6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160" w:type="dxa"/>
            <w:vAlign w:val="bottom"/>
            <w:shd w:val="clear" w:color="auto" w:fill="DDDDDD"/>
          </w:tcPr>
          <w:p>
            <w:pPr>
              <w:spacing w:after="0"/>
              <w:rPr>
                <w:sz w:val="20"/>
                <w:szCs w:val="20"/>
                <w:color w:val="auto"/>
              </w:rPr>
            </w:pPr>
            <w:r>
              <w:rPr>
                <w:rFonts w:ascii="Arial" w:cs="Arial" w:eastAsia="Arial" w:hAnsi="Arial"/>
                <w:sz w:val="13"/>
                <w:szCs w:val="13"/>
                <w:color w:val="auto"/>
              </w:rPr>
              <w:t>Total shares of common stock reserved</w:t>
            </w:r>
          </w:p>
        </w:tc>
        <w:tc>
          <w:tcPr>
            <w:tcW w:w="1500" w:type="dxa"/>
            <w:vAlign w:val="bottom"/>
            <w:gridSpan w:val="2"/>
            <w:shd w:val="clear" w:color="auto" w:fill="DDDDDD"/>
          </w:tcPr>
          <w:p>
            <w:pPr>
              <w:jc w:val="right"/>
              <w:spacing w:after="0"/>
              <w:rPr>
                <w:sz w:val="20"/>
                <w:szCs w:val="20"/>
                <w:color w:val="auto"/>
              </w:rPr>
            </w:pPr>
            <w:r>
              <w:rPr>
                <w:rFonts w:ascii="Arial" w:cs="Arial" w:eastAsia="Arial" w:hAnsi="Arial"/>
                <w:sz w:val="13"/>
                <w:szCs w:val="13"/>
                <w:color w:val="auto"/>
              </w:rPr>
              <w:t>97,847,433</w:t>
            </w:r>
          </w:p>
        </w:tc>
        <w:tc>
          <w:tcPr>
            <w:tcW w:w="160" w:type="dxa"/>
            <w:vAlign w:val="bottom"/>
            <w:shd w:val="clear" w:color="auto" w:fill="DDDDDD"/>
          </w:tcPr>
          <w:p>
            <w:pPr>
              <w:spacing w:after="0"/>
              <w:rPr>
                <w:sz w:val="15"/>
                <w:szCs w:val="15"/>
                <w:color w:val="auto"/>
              </w:rPr>
            </w:pPr>
          </w:p>
        </w:tc>
        <w:tc>
          <w:tcPr>
            <w:tcW w:w="480" w:type="dxa"/>
            <w:vAlign w:val="bottom"/>
            <w:shd w:val="clear" w:color="auto" w:fill="DDDDDD"/>
          </w:tcPr>
          <w:p>
            <w:pPr>
              <w:spacing w:after="0"/>
              <w:rPr>
                <w:sz w:val="15"/>
                <w:szCs w:val="15"/>
                <w:color w:val="auto"/>
              </w:rPr>
            </w:pPr>
          </w:p>
        </w:tc>
        <w:tc>
          <w:tcPr>
            <w:tcW w:w="1020" w:type="dxa"/>
            <w:vAlign w:val="bottom"/>
            <w:shd w:val="clear" w:color="auto" w:fill="DDDDDD"/>
          </w:tcPr>
          <w:p>
            <w:pPr>
              <w:jc w:val="right"/>
              <w:ind w:right="17"/>
              <w:spacing w:after="0"/>
              <w:rPr>
                <w:sz w:val="20"/>
                <w:szCs w:val="20"/>
                <w:color w:val="auto"/>
              </w:rPr>
            </w:pPr>
            <w:r>
              <w:rPr>
                <w:rFonts w:ascii="Arial" w:cs="Arial" w:eastAsia="Arial" w:hAnsi="Arial"/>
                <w:sz w:val="13"/>
                <w:szCs w:val="13"/>
                <w:color w:val="auto"/>
              </w:rPr>
              <w:t>108,254,073</w:t>
            </w:r>
          </w:p>
        </w:tc>
        <w:tc>
          <w:tcPr>
            <w:tcW w:w="1640" w:type="dxa"/>
            <w:vAlign w:val="bottom"/>
            <w:gridSpan w:val="2"/>
            <w:shd w:val="clear" w:color="auto" w:fill="DDDDDD"/>
          </w:tcPr>
          <w:p>
            <w:pPr>
              <w:jc w:val="right"/>
              <w:ind w:right="17"/>
              <w:spacing w:after="0"/>
              <w:rPr>
                <w:sz w:val="20"/>
                <w:szCs w:val="20"/>
                <w:color w:val="auto"/>
              </w:rPr>
            </w:pPr>
            <w:r>
              <w:rPr>
                <w:rFonts w:ascii="Arial" w:cs="Arial" w:eastAsia="Arial" w:hAnsi="Arial"/>
                <w:sz w:val="13"/>
                <w:szCs w:val="13"/>
                <w:color w:val="auto"/>
              </w:rPr>
              <w:t>106,349,855</w:t>
            </w:r>
          </w:p>
        </w:tc>
        <w:tc>
          <w:tcPr>
            <w:tcW w:w="60" w:type="dxa"/>
            <w:vAlign w:val="bottom"/>
            <w:shd w:val="clear" w:color="auto" w:fill="DDDDDD"/>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 w:lineRule="exact"/>
        <w:rPr>
          <w:sz w:val="20"/>
          <w:szCs w:val="20"/>
          <w:color w:val="auto"/>
        </w:rPr>
      </w:pPr>
    </w:p>
    <w:p>
      <w:pPr>
        <w:ind w:left="540" w:right="560" w:hanging="424"/>
        <w:spacing w:after="0" w:line="258"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Excludes 34,000, 95,475, and 103,663 cash-settled stock appreciation rights outstanding as of December 31, 2019 and 2020, and June 30, 2021 (unaudited),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Stock option plan</w:t>
      </w:r>
    </w:p>
    <w:p>
      <w:pPr>
        <w:spacing w:after="0" w:line="108" w:lineRule="exact"/>
        <w:rPr>
          <w:sz w:val="20"/>
          <w:szCs w:val="20"/>
          <w:color w:val="auto"/>
        </w:rPr>
      </w:pPr>
    </w:p>
    <w:p>
      <w:pPr>
        <w:ind w:left="120" w:right="180"/>
        <w:spacing w:after="0"/>
        <w:rPr>
          <w:sz w:val="20"/>
          <w:szCs w:val="20"/>
          <w:color w:val="auto"/>
        </w:rPr>
      </w:pPr>
      <w:r>
        <w:rPr>
          <w:rFonts w:ascii="Arial" w:cs="Arial" w:eastAsia="Arial" w:hAnsi="Arial"/>
          <w:sz w:val="18"/>
          <w:szCs w:val="18"/>
          <w:b w:val="1"/>
          <w:bCs w:val="1"/>
          <w:i w:val="1"/>
          <w:iCs w:val="1"/>
          <w:color w:val="auto"/>
        </w:rPr>
        <w:t>Service-Based Awards</w:t>
      </w:r>
      <w:r>
        <w:rPr>
          <w:rFonts w:ascii="Arial" w:cs="Arial" w:eastAsia="Arial" w:hAnsi="Arial"/>
          <w:sz w:val="18"/>
          <w:szCs w:val="18"/>
          <w:color w:val="auto"/>
        </w:rPr>
        <w:t>—The Company’s 2010 Equity Incentive Plan (the “2010 Plan”), was approved by the Board of Directors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on January 20, 2010, and provides for shares of the Company’s common stock to be granted to employees, directors, and consultants. The 2010 Plan provides for the granting of incentive stock options (“ISOs”), non-statutory stock options (“NSOs”, collectively with ISOs, “Options”), SARs, restricted stock, and restricted stock units, and terminates automatically 10 years after the later of: (i) the date when the Board of Directors adopted the Plan; or (ii) the date when the Board of Directors approved the most recent increase in the number of Shares reserved. Option and SAR awards with service-based vesting conditions generally vest over a period of four years (together, the “Service-Based Awards”).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Company’s Board of Directors approved an amended and restated 2010 Equity Incentive Plan as of January 27, 2021. The amended and restated plan did not change the number of equity awards available for future grant.</w:t>
      </w:r>
    </w:p>
    <w:p>
      <w:pPr>
        <w:spacing w:after="0" w:line="197"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The following is a summary of activity for Service-Based Awards under the 2010 Plan (amounts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380" w:type="dxa"/>
            <w:vAlign w:val="bottom"/>
            <w:tcBorders>
              <w:bottom w:val="single" w:sz="8" w:color="DDDDDD"/>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Borders>
              <w:bottom w:val="single" w:sz="8" w:color="DDDDDD"/>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DDDDDD"/>
            </w:tcBorders>
          </w:tcPr>
          <w:p>
            <w:pPr>
              <w:spacing w:after="0"/>
              <w:rPr>
                <w:sz w:val="15"/>
                <w:szCs w:val="15"/>
                <w:color w:val="auto"/>
              </w:rPr>
            </w:pPr>
          </w:p>
        </w:tc>
      </w:tr>
      <w:tr>
        <w:trPr>
          <w:trHeight w:val="196"/>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Balance—January 1, 2019</w:t>
            </w:r>
          </w:p>
        </w:tc>
        <w:tc>
          <w:tcPr>
            <w:tcW w:w="152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17,669,878</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2.65</w:t>
            </w:r>
          </w:p>
        </w:tc>
        <w:tc>
          <w:tcPr>
            <w:tcW w:w="13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8.22</w:t>
            </w:r>
          </w:p>
        </w:tc>
        <w:tc>
          <w:tcPr>
            <w:tcW w:w="32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8,308</w:t>
            </w:r>
          </w:p>
        </w:tc>
        <w:tc>
          <w:tcPr>
            <w:tcW w:w="60" w:type="dxa"/>
            <w:vAlign w:val="bottom"/>
            <w:shd w:val="clear" w:color="auto" w:fill="DDDDDD"/>
          </w:tcPr>
          <w:p>
            <w:pPr>
              <w:spacing w:after="0"/>
              <w:rPr>
                <w:sz w:val="17"/>
                <w:szCs w:val="17"/>
                <w:color w:val="auto"/>
              </w:rPr>
            </w:pPr>
          </w:p>
        </w:tc>
      </w:tr>
      <w:tr>
        <w:trPr>
          <w:trHeight w:val="210"/>
        </w:trPr>
        <w:tc>
          <w:tcPr>
            <w:tcW w:w="5380" w:type="dxa"/>
            <w:vAlign w:val="bottom"/>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11,561,101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3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(4,024,143)</w:t>
            </w:r>
          </w:p>
        </w:tc>
        <w:tc>
          <w:tcPr>
            <w:tcW w:w="1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2.80</w:t>
            </w:r>
          </w:p>
        </w:tc>
        <w:tc>
          <w:tcPr>
            <w:tcW w:w="16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r>
      <w:tr>
        <w:trPr>
          <w:trHeight w:val="210"/>
        </w:trPr>
        <w:tc>
          <w:tcPr>
            <w:tcW w:w="5380" w:type="dxa"/>
            <w:vAlign w:val="bottom"/>
          </w:tcPr>
          <w:p>
            <w:pPr>
              <w:ind w:left="220"/>
              <w:spacing w:after="0"/>
              <w:rPr>
                <w:sz w:val="20"/>
                <w:szCs w:val="20"/>
                <w:color w:val="auto"/>
              </w:rPr>
            </w:pPr>
            <w:r>
              <w:rPr>
                <w:rFonts w:ascii="Arial" w:cs="Arial" w:eastAsia="Arial" w:hAnsi="Arial"/>
                <w:sz w:val="14"/>
                <w:szCs w:val="14"/>
                <w:color w:val="auto"/>
              </w:rPr>
              <w:t>Cancelled</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(7,342,434)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Balance—December 31, 2019</w:t>
            </w:r>
          </w:p>
        </w:tc>
        <w:tc>
          <w:tcPr>
            <w:tcW w:w="120" w:type="dxa"/>
            <w:vAlign w:val="bottom"/>
            <w:shd w:val="clear" w:color="auto" w:fill="DDDDDD"/>
          </w:tcPr>
          <w:p>
            <w:pPr>
              <w:spacing w:after="0"/>
              <w:rPr>
                <w:sz w:val="17"/>
                <w:szCs w:val="17"/>
                <w:color w:val="auto"/>
              </w:rPr>
            </w:pPr>
          </w:p>
        </w:tc>
        <w:tc>
          <w:tcPr>
            <w:tcW w:w="14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17,864,402</w:t>
            </w:r>
          </w:p>
        </w:tc>
        <w:tc>
          <w:tcPr>
            <w:tcW w:w="140" w:type="dxa"/>
            <w:vAlign w:val="bottom"/>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8.28</w:t>
            </w:r>
          </w:p>
        </w:tc>
        <w:tc>
          <w:tcPr>
            <w:tcW w:w="140" w:type="dxa"/>
            <w:vAlign w:val="bottom"/>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67,804</w:t>
            </w:r>
          </w:p>
        </w:tc>
        <w:tc>
          <w:tcPr>
            <w:tcW w:w="60" w:type="dxa"/>
            <w:vAlign w:val="bottom"/>
            <w:shd w:val="clear" w:color="auto" w:fill="DDDDDD"/>
          </w:tcPr>
          <w:p>
            <w:pPr>
              <w:spacing w:after="0"/>
              <w:rPr>
                <w:sz w:val="17"/>
                <w:szCs w:val="17"/>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6,748,885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8.83</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3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auto"/>
              </w:rPr>
              <w:t>(5,008,068)</w:t>
            </w:r>
          </w:p>
        </w:tc>
        <w:tc>
          <w:tcPr>
            <w:tcW w:w="1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2.08</w:t>
            </w:r>
          </w:p>
        </w:tc>
        <w:tc>
          <w:tcPr>
            <w:tcW w:w="16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r>
      <w:tr>
        <w:trPr>
          <w:trHeight w:val="210"/>
        </w:trPr>
        <w:tc>
          <w:tcPr>
            <w:tcW w:w="5380" w:type="dxa"/>
            <w:vAlign w:val="bottom"/>
          </w:tcPr>
          <w:p>
            <w:pPr>
              <w:ind w:left="220"/>
              <w:spacing w:after="0"/>
              <w:rPr>
                <w:sz w:val="20"/>
                <w:szCs w:val="20"/>
                <w:color w:val="auto"/>
              </w:rPr>
            </w:pPr>
            <w:r>
              <w:rPr>
                <w:rFonts w:ascii="Arial" w:cs="Arial" w:eastAsia="Arial" w:hAnsi="Arial"/>
                <w:sz w:val="14"/>
                <w:szCs w:val="14"/>
                <w:color w:val="auto"/>
              </w:rPr>
              <w:t>Cancelled</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(976,765)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Balance—December 31, 2020</w:t>
            </w:r>
          </w:p>
        </w:tc>
        <w:tc>
          <w:tcPr>
            <w:tcW w:w="152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18,628,454</w:t>
            </w:r>
          </w:p>
        </w:tc>
        <w:tc>
          <w:tcPr>
            <w:tcW w:w="1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5.13</w:t>
            </w:r>
          </w:p>
        </w:tc>
        <w:tc>
          <w:tcPr>
            <w:tcW w:w="13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8.54</w:t>
            </w:r>
          </w:p>
        </w:tc>
        <w:tc>
          <w:tcPr>
            <w:tcW w:w="1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123,691</w:t>
            </w:r>
          </w:p>
        </w:tc>
        <w:tc>
          <w:tcPr>
            <w:tcW w:w="60" w:type="dxa"/>
            <w:vAlign w:val="bottom"/>
            <w:shd w:val="clear" w:color="auto" w:fill="DDDDDD"/>
          </w:tcPr>
          <w:p>
            <w:pPr>
              <w:spacing w:after="0"/>
              <w:rPr>
                <w:sz w:val="18"/>
                <w:szCs w:val="18"/>
                <w:color w:val="auto"/>
              </w:rPr>
            </w:pPr>
          </w:p>
        </w:tc>
      </w:tr>
      <w:tr>
        <w:trPr>
          <w:trHeight w:val="210"/>
        </w:trPr>
        <w:tc>
          <w:tcPr>
            <w:tcW w:w="5380" w:type="dxa"/>
            <w:vAlign w:val="bottom"/>
          </w:tcPr>
          <w:p>
            <w:pPr>
              <w:ind w:left="220"/>
              <w:spacing w:after="0"/>
              <w:rPr>
                <w:sz w:val="20"/>
                <w:szCs w:val="20"/>
                <w:color w:val="auto"/>
              </w:rPr>
            </w:pPr>
            <w:r>
              <w:rPr>
                <w:rFonts w:ascii="Arial" w:cs="Arial" w:eastAsia="Arial" w:hAnsi="Arial"/>
                <w:sz w:val="14"/>
                <w:szCs w:val="14"/>
                <w:color w:val="auto"/>
              </w:rPr>
              <w:t>Granted (unaudited)</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3,769,564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16.23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80" w:type="dxa"/>
            <w:vAlign w:val="bottom"/>
            <w:shd w:val="clear" w:color="auto" w:fill="DDDDDD"/>
          </w:tcPr>
          <w:p>
            <w:pPr>
              <w:ind w:left="220"/>
              <w:spacing w:after="0"/>
              <w:rPr>
                <w:sz w:val="20"/>
                <w:szCs w:val="20"/>
                <w:color w:val="auto"/>
              </w:rPr>
            </w:pPr>
            <w:r>
              <w:rPr>
                <w:rFonts w:ascii="Arial" w:cs="Arial" w:eastAsia="Arial" w:hAnsi="Arial"/>
                <w:sz w:val="14"/>
                <w:szCs w:val="14"/>
                <w:color w:val="auto"/>
              </w:rPr>
              <w:t>Exercised (unaudited)</w:t>
            </w:r>
          </w:p>
        </w:tc>
        <w:tc>
          <w:tcPr>
            <w:tcW w:w="120" w:type="dxa"/>
            <w:vAlign w:val="bottom"/>
            <w:shd w:val="clear" w:color="auto" w:fill="DDDDDD"/>
          </w:tcPr>
          <w:p>
            <w:pPr>
              <w:spacing w:after="0"/>
              <w:rPr>
                <w:sz w:val="18"/>
                <w:szCs w:val="18"/>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(1,896,030)</w:t>
            </w:r>
          </w:p>
        </w:tc>
        <w:tc>
          <w:tcPr>
            <w:tcW w:w="140" w:type="dxa"/>
            <w:vAlign w:val="bottom"/>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3.32</w:t>
            </w:r>
          </w:p>
        </w:tc>
        <w:tc>
          <w:tcPr>
            <w:tcW w:w="16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4"/>
                <w:szCs w:val="14"/>
                <w:color w:val="auto"/>
              </w:rPr>
              <w:t>Cancelled (unaudited)</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(625,303)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Balance—June 30, 2021 (unaudited)</w:t>
            </w:r>
          </w:p>
        </w:tc>
        <w:tc>
          <w:tcPr>
            <w:tcW w:w="120" w:type="dxa"/>
            <w:vAlign w:val="bottom"/>
            <w:shd w:val="clear" w:color="auto" w:fill="DDDDDD"/>
          </w:tcPr>
          <w:p>
            <w:pPr>
              <w:spacing w:after="0"/>
              <w:rPr>
                <w:sz w:val="17"/>
                <w:szCs w:val="17"/>
                <w:color w:val="auto"/>
              </w:rPr>
            </w:pPr>
          </w:p>
        </w:tc>
        <w:tc>
          <w:tcPr>
            <w:tcW w:w="14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19,876,685</w:t>
            </w:r>
          </w:p>
        </w:tc>
        <w:tc>
          <w:tcPr>
            <w:tcW w:w="140" w:type="dxa"/>
            <w:vAlign w:val="bottom"/>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7.33</w:t>
            </w:r>
          </w:p>
        </w:tc>
        <w:tc>
          <w:tcPr>
            <w:tcW w:w="160" w:type="dxa"/>
            <w:vAlign w:val="bottom"/>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8.47</w:t>
            </w:r>
          </w:p>
        </w:tc>
        <w:tc>
          <w:tcPr>
            <w:tcW w:w="140" w:type="dxa"/>
            <w:vAlign w:val="bottom"/>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532,816</w:t>
            </w:r>
          </w:p>
        </w:tc>
        <w:tc>
          <w:tcPr>
            <w:tcW w:w="60" w:type="dxa"/>
            <w:vAlign w:val="bottom"/>
            <w:shd w:val="clear" w:color="auto" w:fill="DDDDDD"/>
          </w:tcPr>
          <w:p>
            <w:pPr>
              <w:spacing w:after="0"/>
              <w:rPr>
                <w:sz w:val="17"/>
                <w:szCs w:val="17"/>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4"/>
                <w:szCs w:val="14"/>
                <w:color w:val="auto"/>
              </w:rPr>
              <w:t>Vested and expected to vest as of December 31, 2020</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18,628,454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8.54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123,691</w:t>
            </w:r>
          </w:p>
        </w:tc>
        <w:tc>
          <w:tcPr>
            <w:tcW w:w="60" w:type="dxa"/>
            <w:vAlign w:val="bottom"/>
          </w:tcPr>
          <w:p>
            <w:pPr>
              <w:spacing w:after="0"/>
              <w:rPr>
                <w:sz w:val="19"/>
                <w:szCs w:val="19"/>
                <w:color w:val="auto"/>
              </w:rPr>
            </w:pPr>
          </w:p>
        </w:tc>
      </w:tr>
      <w:tr>
        <w:trPr>
          <w:trHeight w:val="222"/>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Exercisable as of December 31, 2020</w:t>
            </w:r>
          </w:p>
        </w:tc>
        <w:tc>
          <w:tcPr>
            <w:tcW w:w="152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6,073,630</w:t>
            </w:r>
          </w:p>
        </w:tc>
        <w:tc>
          <w:tcPr>
            <w:tcW w:w="1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3.29</w:t>
            </w:r>
          </w:p>
        </w:tc>
        <w:tc>
          <w:tcPr>
            <w:tcW w:w="13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7.73</w:t>
            </w:r>
          </w:p>
        </w:tc>
        <w:tc>
          <w:tcPr>
            <w:tcW w:w="1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51,523</w:t>
            </w:r>
          </w:p>
        </w:tc>
        <w:tc>
          <w:tcPr>
            <w:tcW w:w="60" w:type="dxa"/>
            <w:vAlign w:val="bottom"/>
            <w:shd w:val="clear" w:color="auto" w:fill="DDDDDD"/>
          </w:tcPr>
          <w:p>
            <w:pPr>
              <w:spacing w:after="0"/>
              <w:rPr>
                <w:sz w:val="19"/>
                <w:szCs w:val="19"/>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4"/>
                <w:szCs w:val="14"/>
                <w:color w:val="auto"/>
              </w:rPr>
              <w:t>Vested and expected to vest as of June 30, 2021 (unaudited)</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19,876,685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7.33</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8.47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532,816</w:t>
            </w:r>
          </w:p>
        </w:tc>
        <w:tc>
          <w:tcPr>
            <w:tcW w:w="60" w:type="dxa"/>
            <w:vAlign w:val="bottom"/>
          </w:tcPr>
          <w:p>
            <w:pPr>
              <w:spacing w:after="0"/>
              <w:rPr>
                <w:sz w:val="18"/>
                <w:szCs w:val="18"/>
                <w:color w:val="auto"/>
              </w:rPr>
            </w:pPr>
          </w:p>
        </w:tc>
      </w:tr>
      <w:tr>
        <w:trPr>
          <w:trHeight w:val="216"/>
        </w:trPr>
        <w:tc>
          <w:tcPr>
            <w:tcW w:w="5380" w:type="dxa"/>
            <w:vAlign w:val="bottom"/>
            <w:shd w:val="clear" w:color="auto" w:fill="DDDDDD"/>
          </w:tcPr>
          <w:p>
            <w:pPr>
              <w:spacing w:after="0"/>
              <w:rPr>
                <w:sz w:val="20"/>
                <w:szCs w:val="20"/>
                <w:color w:val="auto"/>
              </w:rPr>
            </w:pPr>
            <w:r>
              <w:rPr>
                <w:rFonts w:ascii="Arial" w:cs="Arial" w:eastAsia="Arial" w:hAnsi="Arial"/>
                <w:sz w:val="14"/>
                <w:szCs w:val="14"/>
                <w:color w:val="auto"/>
              </w:rPr>
              <w:t>Exercisable as of June 30, 2021 (unaudited)</w:t>
            </w:r>
          </w:p>
        </w:tc>
        <w:tc>
          <w:tcPr>
            <w:tcW w:w="120" w:type="dxa"/>
            <w:vAlign w:val="bottom"/>
            <w:shd w:val="clear" w:color="auto" w:fill="DDDDDD"/>
          </w:tcPr>
          <w:p>
            <w:pPr>
              <w:spacing w:after="0"/>
              <w:rPr>
                <w:sz w:val="18"/>
                <w:szCs w:val="18"/>
                <w:color w:val="auto"/>
              </w:rPr>
            </w:pPr>
          </w:p>
        </w:tc>
        <w:tc>
          <w:tcPr>
            <w:tcW w:w="14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6,438,407</w:t>
            </w:r>
          </w:p>
        </w:tc>
        <w:tc>
          <w:tcPr>
            <w:tcW w:w="140" w:type="dxa"/>
            <w:vAlign w:val="bottom"/>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3.90</w:t>
            </w:r>
          </w:p>
        </w:tc>
        <w:tc>
          <w:tcPr>
            <w:tcW w:w="160" w:type="dxa"/>
            <w:vAlign w:val="bottom"/>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7.66</w:t>
            </w:r>
          </w:p>
        </w:tc>
        <w:tc>
          <w:tcPr>
            <w:tcW w:w="14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194,689</w:t>
            </w:r>
          </w:p>
        </w:tc>
        <w:tc>
          <w:tcPr>
            <w:tcW w:w="60" w:type="dxa"/>
            <w:vAlign w:val="bottom"/>
            <w:shd w:val="clear" w:color="auto" w:fill="DDDDDD"/>
          </w:tcPr>
          <w:p>
            <w:pPr>
              <w:spacing w:after="0"/>
              <w:rPr>
                <w:sz w:val="18"/>
                <w:szCs w:val="18"/>
                <w:color w:val="auto"/>
              </w:rPr>
            </w:pPr>
          </w:p>
        </w:tc>
      </w:tr>
    </w:tbl>
    <w:p>
      <w:pPr>
        <w:spacing w:after="0" w:line="22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weighted average grant date fair values of employee Service-Based Awards granted during the years ended December 31, 2019 and 2020, were $1.66 and $5.43 per share, respectively. The weighted average grant date fair values of employee Service-Based Awards granted during the six months ended June 30, 2020 and 2021 (unaudited), were $4.70 and $15.83 per share, respectively.</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of December 31, 2020, total compensation cost related to unvested Service-Based Awards not yet recognized was $42.4 million, which will be recognized over a weighted average period of 2.5 years. As of June 30, 2021 (unaudited), total compensation cost related to unvested Service-Based Awards not yet recognized was $88.5 million, which will be recognized over a weighted average period of 2.7 years.</w:t>
      </w:r>
    </w:p>
    <w:p>
      <w:pPr>
        <w:spacing w:after="0" w:line="205" w:lineRule="exact"/>
        <w:rPr>
          <w:sz w:val="20"/>
          <w:szCs w:val="20"/>
          <w:color w:val="auto"/>
        </w:rPr>
      </w:pPr>
    </w:p>
    <w:p>
      <w:pPr>
        <w:ind w:left="120" w:right="860"/>
        <w:spacing w:after="0" w:line="246" w:lineRule="auto"/>
        <w:rPr>
          <w:sz w:val="20"/>
          <w:szCs w:val="20"/>
          <w:color w:val="auto"/>
        </w:rPr>
      </w:pPr>
      <w:r>
        <w:rPr>
          <w:rFonts w:ascii="Arial" w:cs="Arial" w:eastAsia="Arial" w:hAnsi="Arial"/>
          <w:sz w:val="18"/>
          <w:szCs w:val="18"/>
          <w:color w:val="auto"/>
        </w:rPr>
        <w:t>The grant date fair value was calculated using the Black-Scholes option pricing model, based on the following weighted average assumptions: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2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20" w:type="dxa"/>
            <w:vAlign w:val="bottom"/>
            <w:gridSpan w:val="3"/>
          </w:tcPr>
          <w:p>
            <w:pPr>
              <w:ind w:left="7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7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0" w:type="dxa"/>
            <w:vAlign w:val="bottom"/>
            <w:tcBorders>
              <w:top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240" w:type="dxa"/>
            <w:vAlign w:val="bottom"/>
            <w:tcBorders>
              <w:top w:val="single" w:sz="8" w:color="auto"/>
            </w:tcBorders>
          </w:tcPr>
          <w:p>
            <w:pPr>
              <w:jc w:val="right"/>
              <w:ind w:right="1368"/>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tcBorders>
          </w:tcPr>
          <w:p>
            <w:pPr>
              <w:jc w:val="right"/>
              <w:ind w:right="407"/>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24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(unaudited)</w:t>
            </w:r>
          </w:p>
        </w:tc>
        <w:tc>
          <w:tcPr>
            <w:tcW w:w="10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3700" w:type="dxa"/>
            <w:vAlign w:val="bottom"/>
            <w:shd w:val="clear" w:color="auto" w:fill="DDDDDD"/>
          </w:tcPr>
          <w:p>
            <w:pPr>
              <w:spacing w:after="0"/>
              <w:rPr>
                <w:sz w:val="20"/>
                <w:szCs w:val="20"/>
                <w:color w:val="auto"/>
              </w:rPr>
            </w:pPr>
            <w:r>
              <w:rPr>
                <w:rFonts w:ascii="Arial" w:cs="Arial" w:eastAsia="Arial" w:hAnsi="Arial"/>
                <w:sz w:val="14"/>
                <w:szCs w:val="14"/>
                <w:color w:val="auto"/>
              </w:rPr>
              <w:t>Risk-free interest rate</w:t>
            </w:r>
          </w:p>
        </w:tc>
        <w:tc>
          <w:tcPr>
            <w:tcW w:w="84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720"/>
              <w:spacing w:after="0"/>
              <w:rPr>
                <w:sz w:val="20"/>
                <w:szCs w:val="20"/>
                <w:color w:val="auto"/>
              </w:rPr>
            </w:pPr>
            <w:r>
              <w:rPr>
                <w:rFonts w:ascii="Arial" w:cs="Arial" w:eastAsia="Arial" w:hAnsi="Arial"/>
                <w:sz w:val="14"/>
                <w:szCs w:val="14"/>
                <w:color w:val="auto"/>
              </w:rPr>
              <w:t>2.2%</w:t>
            </w:r>
          </w:p>
        </w:tc>
        <w:tc>
          <w:tcPr>
            <w:tcW w:w="840" w:type="dxa"/>
            <w:vAlign w:val="bottom"/>
            <w:shd w:val="clear" w:color="auto" w:fill="DDDDDD"/>
          </w:tcPr>
          <w:p>
            <w:pPr>
              <w:spacing w:after="0"/>
              <w:rPr>
                <w:sz w:val="18"/>
                <w:szCs w:val="18"/>
                <w:color w:val="auto"/>
              </w:rPr>
            </w:pPr>
          </w:p>
        </w:tc>
        <w:tc>
          <w:tcPr>
            <w:tcW w:w="1160" w:type="dxa"/>
            <w:vAlign w:val="bottom"/>
            <w:gridSpan w:val="2"/>
            <w:shd w:val="clear" w:color="auto" w:fill="DDDDDD"/>
          </w:tcPr>
          <w:p>
            <w:pPr>
              <w:jc w:val="right"/>
              <w:ind w:right="720"/>
              <w:spacing w:after="0"/>
              <w:rPr>
                <w:sz w:val="20"/>
                <w:szCs w:val="20"/>
                <w:color w:val="auto"/>
              </w:rPr>
            </w:pPr>
            <w:r>
              <w:rPr>
                <w:rFonts w:ascii="Arial" w:cs="Arial" w:eastAsia="Arial" w:hAnsi="Arial"/>
                <w:sz w:val="14"/>
                <w:szCs w:val="14"/>
                <w:color w:val="auto"/>
              </w:rPr>
              <w:t>0.5%</w:t>
            </w:r>
          </w:p>
        </w:tc>
        <w:tc>
          <w:tcPr>
            <w:tcW w:w="2240" w:type="dxa"/>
            <w:vAlign w:val="bottom"/>
            <w:shd w:val="clear" w:color="auto" w:fill="DDDDDD"/>
          </w:tcPr>
          <w:p>
            <w:pPr>
              <w:jc w:val="right"/>
              <w:ind w:right="888"/>
              <w:spacing w:after="0"/>
              <w:rPr>
                <w:sz w:val="20"/>
                <w:szCs w:val="20"/>
                <w:color w:val="auto"/>
              </w:rPr>
            </w:pPr>
            <w:r>
              <w:rPr>
                <w:rFonts w:ascii="Arial" w:cs="Arial" w:eastAsia="Arial" w:hAnsi="Arial"/>
                <w:sz w:val="14"/>
                <w:szCs w:val="14"/>
                <w:color w:val="auto"/>
              </w:rPr>
              <w:t>0.6%</w:t>
            </w:r>
          </w:p>
        </w:tc>
        <w:tc>
          <w:tcPr>
            <w:tcW w:w="108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0.9%</w:t>
            </w: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Expected volatility</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48.1%</w:t>
            </w:r>
          </w:p>
        </w:tc>
        <w:tc>
          <w:tcPr>
            <w:tcW w:w="84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56.8%</w:t>
            </w:r>
          </w:p>
        </w:tc>
        <w:tc>
          <w:tcPr>
            <w:tcW w:w="2240" w:type="dxa"/>
            <w:vAlign w:val="bottom"/>
          </w:tcPr>
          <w:p>
            <w:pPr>
              <w:jc w:val="right"/>
              <w:ind w:right="888"/>
              <w:spacing w:after="0"/>
              <w:rPr>
                <w:sz w:val="20"/>
                <w:szCs w:val="20"/>
                <w:color w:val="auto"/>
              </w:rPr>
            </w:pPr>
            <w:r>
              <w:rPr>
                <w:rFonts w:ascii="Arial" w:cs="Arial" w:eastAsia="Arial" w:hAnsi="Arial"/>
                <w:sz w:val="14"/>
                <w:szCs w:val="14"/>
                <w:color w:val="auto"/>
              </w:rPr>
              <w:t>54.3%</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59.9%</w:t>
            </w:r>
          </w:p>
        </w:tc>
      </w:tr>
      <w:tr>
        <w:trPr>
          <w:trHeight w:val="216"/>
        </w:trPr>
        <w:tc>
          <w:tcPr>
            <w:tcW w:w="3700" w:type="dxa"/>
            <w:vAlign w:val="bottom"/>
            <w:shd w:val="clear" w:color="auto" w:fill="DDDDDD"/>
          </w:tcPr>
          <w:p>
            <w:pPr>
              <w:spacing w:after="0"/>
              <w:rPr>
                <w:sz w:val="20"/>
                <w:szCs w:val="20"/>
                <w:color w:val="auto"/>
              </w:rPr>
            </w:pPr>
            <w:r>
              <w:rPr>
                <w:rFonts w:ascii="Arial" w:cs="Arial" w:eastAsia="Arial" w:hAnsi="Arial"/>
                <w:sz w:val="14"/>
                <w:szCs w:val="14"/>
                <w:color w:val="auto"/>
              </w:rPr>
              <w:t>Expected life (in years)</w:t>
            </w:r>
          </w:p>
        </w:tc>
        <w:tc>
          <w:tcPr>
            <w:tcW w:w="840" w:type="dxa"/>
            <w:vAlign w:val="bottom"/>
            <w:shd w:val="clear" w:color="auto" w:fill="DDDDDD"/>
          </w:tcPr>
          <w:p>
            <w:pPr>
              <w:spacing w:after="0"/>
              <w:rPr>
                <w:sz w:val="18"/>
                <w:szCs w:val="18"/>
                <w:color w:val="auto"/>
              </w:rPr>
            </w:pPr>
          </w:p>
        </w:tc>
        <w:tc>
          <w:tcPr>
            <w:tcW w:w="4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6.0</w:t>
            </w:r>
          </w:p>
        </w:tc>
        <w:tc>
          <w:tcPr>
            <w:tcW w:w="720" w:type="dxa"/>
            <w:vAlign w:val="bottom"/>
            <w:shd w:val="clear" w:color="auto" w:fill="DDDDDD"/>
          </w:tcPr>
          <w:p>
            <w:pPr>
              <w:spacing w:after="0"/>
              <w:rPr>
                <w:sz w:val="18"/>
                <w:szCs w:val="18"/>
                <w:color w:val="auto"/>
              </w:rPr>
            </w:pPr>
          </w:p>
        </w:tc>
        <w:tc>
          <w:tcPr>
            <w:tcW w:w="840" w:type="dxa"/>
            <w:vAlign w:val="bottom"/>
            <w:shd w:val="clear" w:color="auto" w:fill="DDDDDD"/>
          </w:tcPr>
          <w:p>
            <w:pPr>
              <w:spacing w:after="0"/>
              <w:rPr>
                <w:sz w:val="18"/>
                <w:szCs w:val="18"/>
                <w:color w:val="auto"/>
              </w:rPr>
            </w:pPr>
          </w:p>
        </w:tc>
        <w:tc>
          <w:tcPr>
            <w:tcW w:w="44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auto"/>
              </w:rPr>
              <w:t>5.9</w:t>
            </w:r>
          </w:p>
        </w:tc>
        <w:tc>
          <w:tcPr>
            <w:tcW w:w="720" w:type="dxa"/>
            <w:vAlign w:val="bottom"/>
            <w:shd w:val="clear" w:color="auto" w:fill="DDDDDD"/>
          </w:tcPr>
          <w:p>
            <w:pPr>
              <w:spacing w:after="0"/>
              <w:rPr>
                <w:sz w:val="18"/>
                <w:szCs w:val="18"/>
                <w:color w:val="auto"/>
              </w:rPr>
            </w:pPr>
          </w:p>
        </w:tc>
        <w:tc>
          <w:tcPr>
            <w:tcW w:w="2240" w:type="dxa"/>
            <w:vAlign w:val="bottom"/>
            <w:shd w:val="clear" w:color="auto" w:fill="DDDDDD"/>
          </w:tcPr>
          <w:p>
            <w:pPr>
              <w:jc w:val="right"/>
              <w:ind w:right="1008"/>
              <w:spacing w:after="0"/>
              <w:rPr>
                <w:sz w:val="20"/>
                <w:szCs w:val="20"/>
                <w:color w:val="auto"/>
              </w:rPr>
            </w:pPr>
            <w:r>
              <w:rPr>
                <w:rFonts w:ascii="Arial" w:cs="Arial" w:eastAsia="Arial" w:hAnsi="Arial"/>
                <w:sz w:val="14"/>
                <w:szCs w:val="14"/>
                <w:color w:val="auto"/>
              </w:rPr>
              <w:t>5.8</w:t>
            </w:r>
          </w:p>
        </w:tc>
        <w:tc>
          <w:tcPr>
            <w:tcW w:w="1040" w:type="dxa"/>
            <w:vAlign w:val="bottom"/>
            <w:shd w:val="clear" w:color="auto" w:fill="DDDDDD"/>
          </w:tcPr>
          <w:p>
            <w:pPr>
              <w:jc w:val="right"/>
              <w:ind w:right="47"/>
              <w:spacing w:after="0"/>
              <w:rPr>
                <w:sz w:val="20"/>
                <w:szCs w:val="20"/>
                <w:color w:val="auto"/>
              </w:rPr>
            </w:pPr>
            <w:r>
              <w:rPr>
                <w:rFonts w:ascii="Arial" w:cs="Arial" w:eastAsia="Arial" w:hAnsi="Arial"/>
                <w:sz w:val="14"/>
                <w:szCs w:val="14"/>
                <w:color w:val="auto"/>
              </w:rPr>
              <w:t>6.0</w:t>
            </w:r>
          </w:p>
        </w:tc>
        <w:tc>
          <w:tcPr>
            <w:tcW w:w="40" w:type="dxa"/>
            <w:vAlign w:val="bottom"/>
            <w:shd w:val="clear" w:color="auto" w:fill="DDDDDD"/>
          </w:tcPr>
          <w:p>
            <w:pPr>
              <w:spacing w:after="0"/>
              <w:rPr>
                <w:sz w:val="18"/>
                <w:szCs w:val="18"/>
                <w:color w:val="auto"/>
              </w:rPr>
            </w:pPr>
          </w:p>
        </w:tc>
      </w:tr>
      <w:tr>
        <w:trPr>
          <w:trHeight w:val="177"/>
        </w:trPr>
        <w:tc>
          <w:tcPr>
            <w:tcW w:w="4540" w:type="dxa"/>
            <w:vAlign w:val="bottom"/>
            <w:gridSpan w:val="2"/>
          </w:tcPr>
          <w:p>
            <w:pPr>
              <w:spacing w:after="0"/>
              <w:rPr>
                <w:sz w:val="20"/>
                <w:szCs w:val="20"/>
                <w:color w:val="auto"/>
              </w:rPr>
            </w:pPr>
            <w:r>
              <w:rPr>
                <w:rFonts w:ascii="Arial" w:cs="Arial" w:eastAsia="Arial" w:hAnsi="Arial"/>
                <w:sz w:val="14"/>
                <w:szCs w:val="14"/>
                <w:color w:val="auto"/>
              </w:rPr>
              <w:t>Expected dividend yield</w:t>
            </w:r>
          </w:p>
        </w:tc>
        <w:tc>
          <w:tcPr>
            <w:tcW w:w="2000" w:type="dxa"/>
            <w:vAlign w:val="bottom"/>
            <w:gridSpan w:val="3"/>
          </w:tcPr>
          <w:p>
            <w:pPr>
              <w:jc w:val="right"/>
              <w:ind w:right="15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330"/>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w w:val="97"/>
              </w:rPr>
              <w:t>F-35</w:t>
            </w: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maturities equivalent to the option’s expected term. The expected term of the Service-Based Awards granted was estimated by taking the average of the vesting period and the contractual term of the option as provided by the Securities and Exchange Commission issued Staff Accounting Bulletins No. 107 and 110 because the Company does not have sufficient historical exercise data to estimate expected term. The Company estimated its future stock price volatility based upon the volatility of comparable public companies having securities with observable trading histories. The Company has never declared or paid cash dividends and does not plan to pay cash dividends in the foreseeable future; therefore, the Company used an expected dividend yield of zero.</w:t>
      </w:r>
    </w:p>
    <w:p>
      <w:pPr>
        <w:spacing w:after="0" w:line="18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b w:val="1"/>
          <w:bCs w:val="1"/>
          <w:i w:val="1"/>
          <w:iCs w:val="1"/>
          <w:color w:val="auto"/>
        </w:rPr>
        <w:t>Performance-Based Awards</w:t>
      </w:r>
      <w:r>
        <w:rPr>
          <w:rFonts w:ascii="Arial" w:cs="Arial" w:eastAsia="Arial" w:hAnsi="Arial"/>
          <w:sz w:val="18"/>
          <w:szCs w:val="18"/>
          <w:color w:val="auto"/>
        </w:rPr>
        <w:t>—Under its 2010 Plan, the Company may grant share-based awards whose vesting is contingent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various departmental or company-wide performance goals, such as the achievement of certain sales targets or an IPO event, in lieu of or in addition to a service-based vesting condition (“Performance-Based Awards”). Such awards are generally granted with an exercise price equal to the fair market value of the underlying common stock share on the date of grant and have a contractual term of 10 years. If vesting is dependent on satisfying a performance condition that is probable of being achieved, the Company estimates the expected term as the midpoint between the time at which the performance conditions are probable of being satisfied and the contractual term of the award. If vesting is dependent on satisfying a performance condition that is not probable of being achieved and the service period is not explicitly stated, the Company estimates the expected term as the contractual term. The remaining inputs to the Black-Scholes option pricing model used to determine grant date fair value, including risk-free interest, expected volatility, and expected dividend yield, are calculated using the same method as that used for Service-Based Awards. Grants for Performance-Based Awards are made out of the same pool of stock options available for future issuance under the 2010 Plan.</w:t>
      </w:r>
    </w:p>
    <w:p>
      <w:pPr>
        <w:spacing w:after="0" w:line="208"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Compensation expense for Performance-Based Awards is based on the grant date fair market value. The Company recognizes expense for Performance-Based Awards having either (a) multiple performance-based vesting conditions, or (b) performance and graded service-based vesting conditions, by separately attributing each vesting tranche of the award over the requisite service period applicable to each vesting condition. Management’s estimate of the number of shares expected to vest is based on the anticipated achievement of the specified performance goals. If the performance -based vesting condition is considered probable of being achieved, the Company recognizes expense over the remaining service period based on the probable outcome of achievement. If the performance goals are not met, no compensation cost is recognized, and any previously recognized compensation cost is reversed. For awards with both performance and service-based vesting conditions where the performance condition is considered improbable of being achieved, the Company does not recognize expense until the performance condition is satisfied, after which time expense is recognized over the requisite service period.</w:t>
      </w:r>
    </w:p>
    <w:p>
      <w:pPr>
        <w:spacing w:after="0" w:line="20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2019, 1,576,694 outstanding stock options with unsatisfied performance-based vesting conditions were forfeited upon termination of the two employee award holders. The Company had two Performance-Based Awards outstanding as of December 31, 2020 and June 30, 2021 (unaudited).</w:t>
      </w:r>
    </w:p>
    <w:p>
      <w:pPr>
        <w:spacing w:after="0" w:line="20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2018, the Company granted an award of 50,000 stock options that will become eligible to vest upon the closing of the Company’s IPO occurring prior to the sixth (6th) anniversary of the date the award was granted and subject to recipient’s continued service to the Company through the IPO closing date. Upon satisfaction of the IPO requirement, the options vest in 48 equal monthly installments thereafter, subject to the recipient continuing to provide service to the Company through each vesting date. In 2020, the Company modified the performance condition of the award to include a change in control event as defined in the Company’s 2010 Plan. Prior to and after the modification, management considered the performance-based vesting conditions were improbable of being satisfied, as neither the IPO nor the change in control events had occurred at the modification date. The impact of the modification was not material to the consolidated financial statements. The contemplated offering is expected to satisfy the IPO requirement, and the Company expects to recognize an immaterial amount of stock-based compensation in the period in which the IPO requirement is satisfied.</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In 2020, the Company granted 350,000 stock options with performance-based vesting conditions, with 50% vesting when the Company achieves $230 million in annual recurring revenues (“ARR”) in Enterprise revenue, and the other 50% vesting when the Company achieves $330 million in ARR in Enterprise revenue. Management considered that both performance-based vesting conditions were probable of being satisfied during the performance period. As such, the Company began recognizing expense for each tranche of the award using the estimated time period by which the performance conditions are probable of being achieved. The following table summarizes the activities of Performance-Based Awards under the 2010 Plan (amounts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rPr>
              <w:t>Exercise</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780" w:type="dxa"/>
            <w:vAlign w:val="bottom"/>
            <w:tcBorders>
              <w:bottom w:val="single" w:sz="8" w:color="DDDDDD"/>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Price</w:t>
            </w:r>
          </w:p>
        </w:tc>
        <w:tc>
          <w:tcPr>
            <w:tcW w:w="500" w:type="dxa"/>
            <w:vAlign w:val="bottom"/>
            <w:tcBorders>
              <w:bottom w:val="single" w:sz="8" w:color="DDDDDD"/>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48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DDDDDD"/>
            </w:tcBorders>
          </w:tcPr>
          <w:p>
            <w:pPr>
              <w:spacing w:after="0"/>
              <w:rPr>
                <w:sz w:val="15"/>
                <w:szCs w:val="15"/>
                <w:color w:val="auto"/>
              </w:rPr>
            </w:pPr>
          </w:p>
        </w:tc>
      </w:tr>
      <w:tr>
        <w:trPr>
          <w:trHeight w:val="156"/>
        </w:trPr>
        <w:tc>
          <w:tcPr>
            <w:tcW w:w="478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Balance—January 1, 2019</w:t>
            </w:r>
          </w:p>
        </w:tc>
        <w:tc>
          <w:tcPr>
            <w:tcW w:w="124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1,626,694</w:t>
            </w:r>
          </w:p>
        </w:tc>
        <w:tc>
          <w:tcPr>
            <w:tcW w:w="680" w:type="dxa"/>
            <w:vAlign w:val="bottom"/>
            <w:gridSpan w:val="2"/>
            <w:shd w:val="clear" w:color="auto" w:fill="DDDDDD"/>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2.98</w:t>
            </w:r>
          </w:p>
        </w:tc>
        <w:tc>
          <w:tcPr>
            <w:tcW w:w="1540" w:type="dxa"/>
            <w:vAlign w:val="bottom"/>
            <w:gridSpan w:val="2"/>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8.76</w:t>
            </w:r>
          </w:p>
        </w:tc>
        <w:tc>
          <w:tcPr>
            <w:tcW w:w="660" w:type="dxa"/>
            <w:vAlign w:val="bottom"/>
            <w:gridSpan w:val="2"/>
            <w:shd w:val="clear" w:color="auto" w:fill="DDDDDD"/>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230</w:t>
            </w:r>
          </w:p>
        </w:tc>
        <w:tc>
          <w:tcPr>
            <w:tcW w:w="40" w:type="dxa"/>
            <w:vAlign w:val="bottom"/>
            <w:shd w:val="clear" w:color="auto" w:fill="DDDDDD"/>
          </w:tcPr>
          <w:p>
            <w:pPr>
              <w:spacing w:after="0"/>
              <w:rPr>
                <w:sz w:val="13"/>
                <w:szCs w:val="13"/>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Exercised</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ind w:left="260"/>
              <w:spacing w:after="0"/>
              <w:rPr>
                <w:sz w:val="20"/>
                <w:szCs w:val="20"/>
                <w:color w:val="auto"/>
              </w:rPr>
            </w:pPr>
            <w:r>
              <w:rPr>
                <w:rFonts w:ascii="Arial" w:cs="Arial" w:eastAsia="Arial" w:hAnsi="Arial"/>
                <w:sz w:val="14"/>
                <w:szCs w:val="14"/>
                <w:color w:val="auto"/>
              </w:rPr>
              <w:t>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(1,576,694)</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color w:val="auto"/>
              </w:rPr>
              <w:t>Balance—December 31, 2019</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50,000</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3.06</w:t>
            </w:r>
          </w:p>
        </w:tc>
        <w:tc>
          <w:tcPr>
            <w:tcW w:w="154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8.58</w:t>
            </w: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436</w:t>
            </w: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ind w:left="260"/>
              <w:spacing w:after="0"/>
              <w:rPr>
                <w:sz w:val="20"/>
                <w:szCs w:val="20"/>
                <w:color w:val="auto"/>
              </w:rPr>
            </w:pPr>
            <w:r>
              <w:rPr>
                <w:rFonts w:ascii="Arial" w:cs="Arial" w:eastAsia="Arial" w:hAnsi="Arial"/>
                <w:sz w:val="14"/>
                <w:szCs w:val="14"/>
                <w:color w:val="auto"/>
              </w:rPr>
              <w:t>Granted</w:t>
            </w: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350,000</w:t>
            </w:r>
          </w:p>
        </w:tc>
        <w:tc>
          <w:tcPr>
            <w:tcW w:w="4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11.13</w:t>
            </w:r>
          </w:p>
        </w:tc>
        <w:tc>
          <w:tcPr>
            <w:tcW w:w="5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Exercised</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ind w:left="260"/>
              <w:spacing w:after="0"/>
              <w:rPr>
                <w:sz w:val="20"/>
                <w:szCs w:val="20"/>
                <w:color w:val="auto"/>
              </w:rPr>
            </w:pPr>
            <w:r>
              <w:rPr>
                <w:rFonts w:ascii="Arial" w:cs="Arial" w:eastAsia="Arial" w:hAnsi="Arial"/>
                <w:sz w:val="14"/>
                <w:szCs w:val="14"/>
                <w:color w:val="auto"/>
              </w:rPr>
              <w:t>Cancelled</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color w:val="auto"/>
              </w:rPr>
              <w:t>Balance—December 31, 2020</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400,000</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10.12</w:t>
            </w:r>
          </w:p>
        </w:tc>
        <w:tc>
          <w:tcPr>
            <w:tcW w:w="154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9.60</w:t>
            </w: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660</w:t>
            </w: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ind w:left="260"/>
              <w:spacing w:after="0"/>
              <w:rPr>
                <w:sz w:val="20"/>
                <w:szCs w:val="20"/>
                <w:color w:val="auto"/>
              </w:rPr>
            </w:pPr>
            <w:r>
              <w:rPr>
                <w:rFonts w:ascii="Arial" w:cs="Arial" w:eastAsia="Arial" w:hAnsi="Arial"/>
                <w:sz w:val="14"/>
                <w:szCs w:val="14"/>
                <w:color w:val="auto"/>
              </w:rPr>
              <w:t>Granted (unaudited)</w:t>
            </w: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Exercised (unaudited)</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ind w:left="260"/>
              <w:spacing w:after="0"/>
              <w:rPr>
                <w:sz w:val="20"/>
                <w:szCs w:val="20"/>
                <w:color w:val="auto"/>
              </w:rPr>
            </w:pPr>
            <w:r>
              <w:rPr>
                <w:rFonts w:ascii="Arial" w:cs="Arial" w:eastAsia="Arial" w:hAnsi="Arial"/>
                <w:sz w:val="14"/>
                <w:szCs w:val="14"/>
                <w:color w:val="auto"/>
              </w:rPr>
              <w:t>Cancelled (unaudited)</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color w:val="auto"/>
              </w:rPr>
              <w:t>Balance—June 30, 2021 (unaudited)</w:t>
            </w:r>
          </w:p>
        </w:tc>
        <w:tc>
          <w:tcPr>
            <w:tcW w:w="12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400,000</w:t>
            </w:r>
          </w:p>
        </w:tc>
        <w:tc>
          <w:tcPr>
            <w:tcW w:w="480" w:type="dxa"/>
            <w:vAlign w:val="bottom"/>
            <w:shd w:val="clear" w:color="auto" w:fill="DDDDDD"/>
          </w:tcPr>
          <w:p>
            <w:pPr>
              <w:spacing w:after="0"/>
              <w:rPr>
                <w:sz w:val="14"/>
                <w:szCs w:val="14"/>
                <w:color w:val="auto"/>
              </w:rPr>
            </w:pPr>
          </w:p>
        </w:tc>
        <w:tc>
          <w:tcPr>
            <w:tcW w:w="20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10.12</w:t>
            </w:r>
          </w:p>
        </w:tc>
        <w:tc>
          <w:tcPr>
            <w:tcW w:w="500" w:type="dxa"/>
            <w:vAlign w:val="bottom"/>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9.11</w:t>
            </w:r>
          </w:p>
        </w:tc>
        <w:tc>
          <w:tcPr>
            <w:tcW w:w="480" w:type="dxa"/>
            <w:vAlign w:val="bottom"/>
            <w:shd w:val="clear" w:color="auto" w:fill="DDDDDD"/>
          </w:tcPr>
          <w:p>
            <w:pPr>
              <w:spacing w:after="0"/>
              <w:rPr>
                <w:sz w:val="14"/>
                <w:szCs w:val="14"/>
                <w:color w:val="auto"/>
              </w:rPr>
            </w:pPr>
          </w:p>
        </w:tc>
        <w:tc>
          <w:tcPr>
            <w:tcW w:w="18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9,608</w:t>
            </w: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color w:val="auto"/>
              </w:rPr>
              <w:t>Vested and expected to vest as of December 31, 2020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350,000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1540" w:type="dxa"/>
            <w:vAlign w:val="bottom"/>
            <w:gridSpan w:val="2"/>
          </w:tcPr>
          <w:p>
            <w:pPr>
              <w:jc w:val="right"/>
              <w:ind w:right="8"/>
              <w:spacing w:after="0"/>
              <w:rPr>
                <w:sz w:val="20"/>
                <w:szCs w:val="20"/>
                <w:color w:val="auto"/>
              </w:rPr>
            </w:pPr>
            <w:r>
              <w:rPr>
                <w:rFonts w:ascii="Arial" w:cs="Arial" w:eastAsia="Arial" w:hAnsi="Arial"/>
                <w:sz w:val="14"/>
                <w:szCs w:val="14"/>
                <w:color w:val="auto"/>
              </w:rPr>
              <w:t>9.89</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color w:val="auto"/>
              </w:rPr>
              <w:t>Exercisable as of December 31, 2020</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2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spacing w:after="0"/>
              <w:rPr>
                <w:sz w:val="14"/>
                <w:szCs w:val="14"/>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1080" w:type="dxa"/>
            <w:vAlign w:val="bottom"/>
            <w:gridSpan w:val="2"/>
            <w:shd w:val="clear" w:color="auto" w:fill="DDDDDD"/>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780" w:type="dxa"/>
            <w:vAlign w:val="bottom"/>
          </w:tcPr>
          <w:p>
            <w:pPr>
              <w:spacing w:after="0"/>
              <w:rPr>
                <w:sz w:val="20"/>
                <w:szCs w:val="20"/>
                <w:color w:val="auto"/>
              </w:rPr>
            </w:pPr>
            <w:r>
              <w:rPr>
                <w:rFonts w:ascii="Arial" w:cs="Arial" w:eastAsia="Arial" w:hAnsi="Arial"/>
                <w:sz w:val="14"/>
                <w:szCs w:val="14"/>
                <w:color w:val="auto"/>
              </w:rPr>
              <w:t>Vested and expected to vest as of June 30, 2021 (unaudited)</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350,000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1540" w:type="dxa"/>
            <w:vAlign w:val="bottom"/>
            <w:gridSpan w:val="2"/>
          </w:tcPr>
          <w:p>
            <w:pPr>
              <w:jc w:val="right"/>
              <w:ind w:right="8"/>
              <w:spacing w:after="0"/>
              <w:rPr>
                <w:sz w:val="20"/>
                <w:szCs w:val="20"/>
                <w:color w:val="auto"/>
              </w:rPr>
            </w:pPr>
            <w:r>
              <w:rPr>
                <w:rFonts w:ascii="Arial" w:cs="Arial" w:eastAsia="Arial" w:hAnsi="Arial"/>
                <w:sz w:val="14"/>
                <w:szCs w:val="14"/>
                <w:color w:val="auto"/>
              </w:rPr>
              <w:t>9.40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8,054</w:t>
            </w: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color w:val="auto"/>
              </w:rPr>
              <w:t>Exercisable as of June 30, 2021 (unaudited)</w:t>
            </w:r>
          </w:p>
        </w:tc>
        <w:tc>
          <w:tcPr>
            <w:tcW w:w="12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20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4"/>
                <w:szCs w:val="14"/>
                <w:color w:val="auto"/>
              </w:rPr>
            </w:pPr>
          </w:p>
        </w:tc>
        <w:tc>
          <w:tcPr>
            <w:tcW w:w="18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DDDDDD"/>
          </w:tcPr>
          <w:p>
            <w:pPr>
              <w:spacing w:after="0"/>
              <w:rPr>
                <w:sz w:val="14"/>
                <w:szCs w:val="14"/>
                <w:color w:val="auto"/>
              </w:rPr>
            </w:pPr>
          </w:p>
        </w:tc>
      </w:tr>
    </w:tbl>
    <w:p>
      <w:pPr>
        <w:spacing w:after="0" w:line="22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weighted average grant date fair value of Performance-Based Awards granted during the year ended December 31, 2020, was $6.37 per stock option. No Performance-Based Awards were granted during the six months ended June 30, 2020 and 2021 (unaudited).</w:t>
      </w:r>
    </w:p>
    <w:p>
      <w:pPr>
        <w:spacing w:after="0" w:line="1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of December 31, 2020, total compensation cost related to unvested Performance-Based Awards not yet recognized was $2.5 million, which will be recognized over a weighted average period of 2.6 years. As of June 30, 2021 (unaudited), total compensation cost related to unvested Performance-Based Awards not yet recognized was $1.7 million, which will be recognized over a weighted average period of 1.3 years.</w:t>
      </w:r>
    </w:p>
    <w:p>
      <w:pPr>
        <w:spacing w:after="0" w:line="18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Other Equity Transactions</w:t>
      </w:r>
      <w:r>
        <w:rPr>
          <w:rFonts w:ascii="Arial" w:cs="Arial" w:eastAsia="Arial" w:hAnsi="Arial"/>
          <w:sz w:val="18"/>
          <w:szCs w:val="18"/>
          <w:color w:val="auto"/>
        </w:rPr>
        <w:t>—During the year ended December 31, 2019, the Company facilitated a tender offer for certain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to sell 300,000 vested stock options and outstanding shares of common stock to a new investor at a per share price of $10.00 per share. The Company recorded stock-based compensation of $2.1 million in its consolidated statements of operations for the difference between the price paid and the fair value of the Company’s common stock on the date of the transaction.</w:t>
      </w:r>
    </w:p>
    <w:p>
      <w:pPr>
        <w:spacing w:after="0" w:line="196"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During the year ended December 31, 2020, and the six months ended June 30, 2020 (unaudited), the Company facilitated a tender offer for certain eligible employees to sell 891,265 vested stock options and outstanding shares of common stock to Benesse at a per share price of $ 11.22 per share. The Company recorded stock-based compensation of $3.5 million during the year ended December 31, 2020, and $3.5 million during the six months ended June 30, 2020 (unaudited), in its consolidated statements of operations for the difference between the price paid and the fair value of the Company’s common stock on the date of the transaction.</w:t>
      </w:r>
    </w:p>
    <w:p>
      <w:pPr>
        <w:spacing w:after="0" w:line="137"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During the six months ended June 30, 2021 (unaudited), the Company facilitated a tender offer for certain eligible employees to sell 236,086 vested stock options and outstanding shares of common stock to an existing investor at a per share price of $23.75 per share. The Company recorded stock-based compensation of $ 1.6 million during the six months ended June 30, 2021 (unaudited) in its consolidated statements of operations for the difference between the price paid and the fair value of the Company’s common stock on the date of the transaction.</w:t>
      </w:r>
    </w:p>
    <w:p>
      <w:pPr>
        <w:spacing w:after="0" w:line="20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Additionally, during the years ended December 31, 2019 and 2020, and the six months ended June 30, 2020 and 2021 (unaudited), the Company waived its right of first refusal and transfer restrictions with respect to certain transfers of outstanding common stock. Where the Company has concluded that such transfers included a deemed compensatory element as a result of both the Company’s role in facilitating the transfers and the buyers of the shares transferred having a pre-existing economic interest in the Company’s equity, the Company recorded stock-based compensation expense in an aggregate amount of $ 1.7 million and $17.9 million during the years ended December 31, 2019 and 2020, respectively, and $13.1 million and $4.0 million during the six months ended June 30, 2020 and 2021 (unaudited), respectively, for the difference between the price paid and the fair market value on the date of the transaction.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stock-based compensation expense included in the consolidated statements of operations was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3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528"/>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5"/>
        </w:trPr>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4"/>
          </w:tcPr>
          <w:p>
            <w:pPr>
              <w:jc w:val="center"/>
              <w:ind w:left="528"/>
              <w:spacing w:after="0" w:line="155"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3340" w:type="dxa"/>
            <w:vAlign w:val="bottom"/>
            <w:shd w:val="clear" w:color="auto" w:fill="DDDDDD"/>
          </w:tcPr>
          <w:p>
            <w:pPr>
              <w:spacing w:after="0"/>
              <w:rPr>
                <w:sz w:val="20"/>
                <w:szCs w:val="20"/>
                <w:color w:val="auto"/>
              </w:rPr>
            </w:pPr>
            <w:r>
              <w:rPr>
                <w:rFonts w:ascii="Arial" w:cs="Arial" w:eastAsia="Arial" w:hAnsi="Arial"/>
                <w:sz w:val="14"/>
                <w:szCs w:val="14"/>
                <w:color w:val="auto"/>
              </w:rPr>
              <w:t>Cost of revenues</w:t>
            </w:r>
          </w:p>
        </w:tc>
        <w:tc>
          <w:tcPr>
            <w:tcW w:w="162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299</w:t>
            </w:r>
          </w:p>
        </w:tc>
        <w:tc>
          <w:tcPr>
            <w:tcW w:w="6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418</w:t>
            </w:r>
          </w:p>
        </w:tc>
        <w:tc>
          <w:tcPr>
            <w:tcW w:w="56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191</w:t>
            </w:r>
          </w:p>
        </w:tc>
        <w:tc>
          <w:tcPr>
            <w:tcW w:w="700" w:type="dxa"/>
            <w:vAlign w:val="bottom"/>
            <w:gridSpan w:val="2"/>
            <w:shd w:val="clear" w:color="auto" w:fill="DDDDDD"/>
          </w:tcPr>
          <w:p>
            <w:pPr>
              <w:jc w:val="right"/>
              <w:ind w:right="3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537</w:t>
            </w: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Sales and marketing</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3,001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7,518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5,422</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3,636</w:t>
            </w:r>
          </w:p>
        </w:tc>
      </w:tr>
      <w:tr>
        <w:trPr>
          <w:trHeight w:val="162"/>
        </w:trPr>
        <w:tc>
          <w:tcPr>
            <w:tcW w:w="3340" w:type="dxa"/>
            <w:vAlign w:val="bottom"/>
            <w:shd w:val="clear" w:color="auto" w:fill="DDDDDD"/>
          </w:tcPr>
          <w:p>
            <w:pPr>
              <w:spacing w:after="0"/>
              <w:rPr>
                <w:sz w:val="20"/>
                <w:szCs w:val="20"/>
                <w:color w:val="auto"/>
              </w:rPr>
            </w:pPr>
            <w:r>
              <w:rPr>
                <w:rFonts w:ascii="Arial" w:cs="Arial" w:eastAsia="Arial" w:hAnsi="Arial"/>
                <w:sz w:val="14"/>
                <w:szCs w:val="14"/>
                <w:color w:val="auto"/>
              </w:rPr>
              <w:t>Research and development</w:t>
            </w:r>
          </w:p>
        </w:tc>
        <w:tc>
          <w:tcPr>
            <w:tcW w:w="72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7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2,357</w:t>
            </w:r>
          </w:p>
        </w:tc>
        <w:tc>
          <w:tcPr>
            <w:tcW w:w="26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124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5,232</w:t>
            </w:r>
          </w:p>
        </w:tc>
        <w:tc>
          <w:tcPr>
            <w:tcW w:w="260" w:type="dxa"/>
            <w:vAlign w:val="bottom"/>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13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3,184</w:t>
            </w:r>
          </w:p>
        </w:tc>
        <w:tc>
          <w:tcPr>
            <w:tcW w:w="26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3,142</w:t>
            </w: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3,306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18,450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11,806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9,169</w:t>
            </w:r>
          </w:p>
        </w:tc>
      </w:tr>
      <w:tr>
        <w:trPr>
          <w:trHeight w:val="27"/>
        </w:trPr>
        <w:tc>
          <w:tcPr>
            <w:tcW w:w="3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340" w:type="dxa"/>
            <w:vAlign w:val="bottom"/>
            <w:shd w:val="clear" w:color="auto" w:fill="DDDDDD"/>
          </w:tcPr>
          <w:p>
            <w:pPr>
              <w:spacing w:after="0"/>
              <w:rPr>
                <w:sz w:val="20"/>
                <w:szCs w:val="20"/>
                <w:color w:val="auto"/>
              </w:rPr>
            </w:pPr>
            <w:r>
              <w:rPr>
                <w:rFonts w:ascii="Arial" w:cs="Arial" w:eastAsia="Arial" w:hAnsi="Arial"/>
                <w:sz w:val="14"/>
                <w:szCs w:val="14"/>
                <w:color w:val="auto"/>
              </w:rPr>
              <w:t>Total stock-based compensation expense</w:t>
            </w:r>
          </w:p>
        </w:tc>
        <w:tc>
          <w:tcPr>
            <w:tcW w:w="1620" w:type="dxa"/>
            <w:vAlign w:val="bottom"/>
            <w:gridSpan w:val="2"/>
            <w:shd w:val="clear" w:color="auto" w:fill="DDDDDD"/>
          </w:tcPr>
          <w:p>
            <w:pPr>
              <w:jc w:val="right"/>
              <w:ind w:right="7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8,963</w:t>
            </w:r>
          </w:p>
        </w:tc>
        <w:tc>
          <w:tcPr>
            <w:tcW w:w="6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31,618</w:t>
            </w:r>
          </w:p>
        </w:tc>
        <w:tc>
          <w:tcPr>
            <w:tcW w:w="560" w:type="dxa"/>
            <w:vAlign w:val="bottom"/>
            <w:gridSpan w:val="2"/>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20,603</w:t>
            </w:r>
          </w:p>
        </w:tc>
        <w:tc>
          <w:tcPr>
            <w:tcW w:w="700" w:type="dxa"/>
            <w:vAlign w:val="bottom"/>
            <w:gridSpan w:val="2"/>
            <w:shd w:val="clear" w:color="auto" w:fill="DDDDDD"/>
          </w:tcPr>
          <w:p>
            <w:pPr>
              <w:jc w:val="right"/>
              <w:ind w:right="3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16,484</w:t>
            </w:r>
          </w:p>
        </w:tc>
      </w:tr>
      <w:tr>
        <w:trPr>
          <w:trHeight w:val="20"/>
        </w:trPr>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Company capitalized $ 0.3 million and $ 0.7 million of stock-based compensation expense as capitalized software during the fiscal years ended December 31, 2019 and 2020, respectively, and $0.3 million and $1.0 million during the six months ended June 30, 2020 and 2021 (unaudited),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Net loss per share</w:t>
      </w:r>
    </w:p>
    <w:p>
      <w:pPr>
        <w:spacing w:after="0" w:line="130"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amounts):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6"/>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000" w:type="dxa"/>
            <w:vAlign w:val="bottom"/>
            <w:shd w:val="clear" w:color="auto" w:fill="DDDDDD"/>
          </w:tcPr>
          <w:p>
            <w:pPr>
              <w:spacing w:after="0"/>
              <w:rPr>
                <w:sz w:val="20"/>
                <w:szCs w:val="20"/>
                <w:color w:val="auto"/>
              </w:rPr>
            </w:pPr>
            <w:r>
              <w:rPr>
                <w:rFonts w:ascii="Arial" w:cs="Arial" w:eastAsia="Arial" w:hAnsi="Arial"/>
                <w:sz w:val="14"/>
                <w:szCs w:val="14"/>
                <w:color w:val="auto"/>
              </w:rPr>
              <w:t>Numerator:</w:t>
            </w:r>
          </w:p>
        </w:tc>
        <w:tc>
          <w:tcPr>
            <w:tcW w:w="3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2"/>
        </w:trPr>
        <w:tc>
          <w:tcPr>
            <w:tcW w:w="4000" w:type="dxa"/>
            <w:vAlign w:val="bottom"/>
          </w:tcPr>
          <w:p>
            <w:pPr>
              <w:ind w:left="260"/>
              <w:spacing w:after="0"/>
              <w:rPr>
                <w:sz w:val="20"/>
                <w:szCs w:val="20"/>
                <w:color w:val="auto"/>
              </w:rPr>
            </w:pPr>
            <w:r>
              <w:rPr>
                <w:rFonts w:ascii="Arial" w:cs="Arial" w:eastAsia="Arial" w:hAnsi="Arial"/>
                <w:sz w:val="14"/>
                <w:szCs w:val="14"/>
                <w:color w:val="auto"/>
              </w:rPr>
              <w:t>Net loss attributable to common stockholders</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(69,703)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(77,620)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(52,450)</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(29,380)</w:t>
            </w:r>
          </w:p>
        </w:tc>
        <w:tc>
          <w:tcPr>
            <w:tcW w:w="40" w:type="dxa"/>
            <w:vAlign w:val="bottom"/>
          </w:tcPr>
          <w:p>
            <w:pPr>
              <w:spacing w:after="0"/>
              <w:rPr>
                <w:sz w:val="14"/>
                <w:szCs w:val="14"/>
                <w:color w:val="auto"/>
              </w:rPr>
            </w:pPr>
          </w:p>
        </w:tc>
      </w:tr>
      <w:tr>
        <w:trPr>
          <w:trHeight w:val="162"/>
        </w:trPr>
        <w:tc>
          <w:tcPr>
            <w:tcW w:w="4000" w:type="dxa"/>
            <w:vAlign w:val="bottom"/>
            <w:shd w:val="clear" w:color="auto" w:fill="DDDDDD"/>
          </w:tcPr>
          <w:p>
            <w:pPr>
              <w:spacing w:after="0"/>
              <w:rPr>
                <w:sz w:val="20"/>
                <w:szCs w:val="20"/>
                <w:color w:val="auto"/>
              </w:rPr>
            </w:pPr>
            <w:r>
              <w:rPr>
                <w:rFonts w:ascii="Arial" w:cs="Arial" w:eastAsia="Arial" w:hAnsi="Arial"/>
                <w:sz w:val="14"/>
                <w:szCs w:val="14"/>
                <w:color w:val="auto"/>
              </w:rPr>
              <w:t>Denominator</w:t>
            </w:r>
          </w:p>
        </w:tc>
        <w:tc>
          <w:tcPr>
            <w:tcW w:w="3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4"/>
                <w:szCs w:val="14"/>
                <w:color w:val="auto"/>
              </w:rPr>
              <w:t>Weighted-average shares used to calculate net loss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00" w:type="dxa"/>
            <w:vAlign w:val="bottom"/>
          </w:tcPr>
          <w:p>
            <w:pPr>
              <w:ind w:left="380"/>
              <w:spacing w:after="0"/>
              <w:rPr>
                <w:sz w:val="20"/>
                <w:szCs w:val="20"/>
                <w:color w:val="auto"/>
              </w:rPr>
            </w:pPr>
            <w:r>
              <w:rPr>
                <w:rFonts w:ascii="Arial" w:cs="Arial" w:eastAsia="Arial" w:hAnsi="Arial"/>
                <w:sz w:val="14"/>
                <w:szCs w:val="14"/>
                <w:color w:val="auto"/>
              </w:rPr>
              <w:t>per share attributable to common stockholders—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4000" w:type="dxa"/>
            <w:vAlign w:val="bottom"/>
          </w:tcPr>
          <w:p>
            <w:pPr>
              <w:ind w:left="380"/>
              <w:spacing w:after="0" w:line="157" w:lineRule="exact"/>
              <w:rPr>
                <w:sz w:val="20"/>
                <w:szCs w:val="20"/>
                <w:color w:val="auto"/>
              </w:rPr>
            </w:pPr>
            <w:r>
              <w:rPr>
                <w:rFonts w:ascii="Arial" w:cs="Arial" w:eastAsia="Arial" w:hAnsi="Arial"/>
                <w:sz w:val="14"/>
                <w:szCs w:val="14"/>
                <w:color w:val="auto"/>
              </w:rPr>
              <w:t>basic and diluted</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27,096,379</w:t>
            </w:r>
          </w:p>
        </w:tc>
        <w:tc>
          <w:tcPr>
            <w:tcW w:w="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33,384,438</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32,104,638</w:t>
            </w:r>
          </w:p>
        </w:tc>
        <w:tc>
          <w:tcPr>
            <w:tcW w:w="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
              <w:spacing w:after="0" w:line="157" w:lineRule="exact"/>
              <w:rPr>
                <w:sz w:val="20"/>
                <w:szCs w:val="20"/>
                <w:color w:val="auto"/>
              </w:rPr>
            </w:pPr>
            <w:r>
              <w:rPr>
                <w:rFonts w:ascii="Arial" w:cs="Arial" w:eastAsia="Arial" w:hAnsi="Arial"/>
                <w:sz w:val="14"/>
                <w:szCs w:val="14"/>
                <w:color w:val="auto"/>
              </w:rPr>
              <w:t>36,726,992</w:t>
            </w:r>
          </w:p>
        </w:tc>
        <w:tc>
          <w:tcPr>
            <w:tcW w:w="40" w:type="dxa"/>
            <w:vAlign w:val="bottom"/>
          </w:tcPr>
          <w:p>
            <w:pPr>
              <w:spacing w:after="0"/>
              <w:rPr>
                <w:sz w:val="14"/>
                <w:szCs w:val="14"/>
                <w:color w:val="auto"/>
              </w:rPr>
            </w:pPr>
          </w:p>
        </w:tc>
      </w:tr>
      <w:tr>
        <w:trPr>
          <w:trHeight w:val="167"/>
        </w:trPr>
        <w:tc>
          <w:tcPr>
            <w:tcW w:w="4000" w:type="dxa"/>
            <w:vAlign w:val="bottom"/>
            <w:shd w:val="clear" w:color="auto" w:fill="DDDDDD"/>
          </w:tcPr>
          <w:p>
            <w:pPr>
              <w:spacing w:after="0"/>
              <w:rPr>
                <w:sz w:val="20"/>
                <w:szCs w:val="20"/>
                <w:color w:val="auto"/>
              </w:rPr>
            </w:pPr>
            <w:r>
              <w:rPr>
                <w:rFonts w:ascii="Arial" w:cs="Arial" w:eastAsia="Arial" w:hAnsi="Arial"/>
                <w:sz w:val="14"/>
                <w:szCs w:val="14"/>
                <w:color w:val="auto"/>
              </w:rPr>
              <w:t>Net loss per share attributable to common stockholders—</w:t>
            </w:r>
          </w:p>
        </w:tc>
        <w:tc>
          <w:tcPr>
            <w:tcW w:w="3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60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86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57"/>
        </w:trPr>
        <w:tc>
          <w:tcPr>
            <w:tcW w:w="4000" w:type="dxa"/>
            <w:vAlign w:val="bottom"/>
            <w:shd w:val="clear" w:color="auto" w:fill="DDDDDD"/>
          </w:tcPr>
          <w:p>
            <w:pPr>
              <w:spacing w:after="0" w:line="157" w:lineRule="exact"/>
              <w:rPr>
                <w:sz w:val="20"/>
                <w:szCs w:val="20"/>
                <w:color w:val="auto"/>
              </w:rPr>
            </w:pPr>
            <w:r>
              <w:rPr>
                <w:rFonts w:ascii="Arial" w:cs="Arial" w:eastAsia="Arial" w:hAnsi="Arial"/>
                <w:sz w:val="14"/>
                <w:szCs w:val="14"/>
                <w:color w:val="auto"/>
              </w:rPr>
              <w:t>basic and diluted</w:t>
            </w:r>
          </w:p>
        </w:tc>
        <w:tc>
          <w:tcPr>
            <w:tcW w:w="320" w:type="dxa"/>
            <w:vAlign w:val="bottom"/>
            <w:shd w:val="clear" w:color="auto" w:fill="DDDDDD"/>
          </w:tcPr>
          <w:p>
            <w:pPr>
              <w:spacing w:after="0"/>
              <w:rPr>
                <w:sz w:val="13"/>
                <w:szCs w:val="13"/>
                <w:color w:val="auto"/>
              </w:rPr>
            </w:pPr>
          </w:p>
        </w:tc>
        <w:tc>
          <w:tcPr>
            <w:tcW w:w="260" w:type="dxa"/>
            <w:vAlign w:val="bottom"/>
            <w:shd w:val="clear" w:color="auto" w:fill="DDDDDD"/>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DDDDDD"/>
          </w:tcPr>
          <w:p>
            <w:pPr>
              <w:jc w:val="right"/>
              <w:spacing w:after="0" w:line="157" w:lineRule="exact"/>
              <w:rPr>
                <w:sz w:val="20"/>
                <w:szCs w:val="20"/>
                <w:color w:val="auto"/>
              </w:rPr>
            </w:pPr>
            <w:r>
              <w:rPr>
                <w:rFonts w:ascii="Arial" w:cs="Arial" w:eastAsia="Arial" w:hAnsi="Arial"/>
                <w:sz w:val="14"/>
                <w:szCs w:val="14"/>
                <w:color w:val="auto"/>
              </w:rPr>
              <w:t>(2.57)</w:t>
            </w:r>
          </w:p>
        </w:tc>
        <w:tc>
          <w:tcPr>
            <w:tcW w:w="880" w:type="dxa"/>
            <w:vAlign w:val="bottom"/>
            <w:gridSpan w:val="2"/>
            <w:shd w:val="clear" w:color="auto" w:fill="DDDDDD"/>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DDDDDD"/>
          </w:tcPr>
          <w:p>
            <w:pPr>
              <w:jc w:val="right"/>
              <w:spacing w:after="0" w:line="157" w:lineRule="exact"/>
              <w:rPr>
                <w:sz w:val="20"/>
                <w:szCs w:val="20"/>
                <w:color w:val="auto"/>
              </w:rPr>
            </w:pPr>
            <w:r>
              <w:rPr>
                <w:rFonts w:ascii="Arial" w:cs="Arial" w:eastAsia="Arial" w:hAnsi="Arial"/>
                <w:sz w:val="14"/>
                <w:szCs w:val="14"/>
                <w:color w:val="auto"/>
              </w:rPr>
              <w:t>(2.33)</w:t>
            </w:r>
          </w:p>
        </w:tc>
        <w:tc>
          <w:tcPr>
            <w:tcW w:w="840" w:type="dxa"/>
            <w:vAlign w:val="bottom"/>
            <w:gridSpan w:val="2"/>
            <w:shd w:val="clear" w:color="auto" w:fill="DDDDDD"/>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DDDDDD"/>
          </w:tcPr>
          <w:p>
            <w:pPr>
              <w:jc w:val="right"/>
              <w:spacing w:after="0" w:line="157" w:lineRule="exact"/>
              <w:rPr>
                <w:sz w:val="20"/>
                <w:szCs w:val="20"/>
                <w:color w:val="auto"/>
              </w:rPr>
            </w:pPr>
            <w:r>
              <w:rPr>
                <w:rFonts w:ascii="Arial" w:cs="Arial" w:eastAsia="Arial" w:hAnsi="Arial"/>
                <w:sz w:val="14"/>
                <w:szCs w:val="14"/>
                <w:color w:val="auto"/>
              </w:rPr>
              <w:t>(1.63)</w:t>
            </w:r>
          </w:p>
        </w:tc>
        <w:tc>
          <w:tcPr>
            <w:tcW w:w="980" w:type="dxa"/>
            <w:vAlign w:val="bottom"/>
            <w:gridSpan w:val="2"/>
            <w:shd w:val="clear" w:color="auto" w:fill="DDDDDD"/>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DDDDDD"/>
          </w:tcPr>
          <w:p>
            <w:pPr>
              <w:jc w:val="right"/>
              <w:spacing w:after="0" w:line="157" w:lineRule="exact"/>
              <w:rPr>
                <w:sz w:val="20"/>
                <w:szCs w:val="20"/>
                <w:color w:val="auto"/>
              </w:rPr>
            </w:pPr>
            <w:r>
              <w:rPr>
                <w:rFonts w:ascii="Arial" w:cs="Arial" w:eastAsia="Arial" w:hAnsi="Arial"/>
                <w:sz w:val="14"/>
                <w:szCs w:val="14"/>
                <w:color w:val="auto"/>
              </w:rPr>
              <w:t>(0.80)</w:t>
            </w:r>
          </w:p>
        </w:tc>
        <w:tc>
          <w:tcPr>
            <w:tcW w:w="40" w:type="dxa"/>
            <w:vAlign w:val="bottom"/>
            <w:shd w:val="clear" w:color="auto" w:fill="DDDDDD"/>
          </w:tcPr>
          <w:p>
            <w:pPr>
              <w:spacing w:after="0"/>
              <w:rPr>
                <w:sz w:val="13"/>
                <w:szCs w:val="13"/>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9"/>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w w:val="97"/>
              </w:rPr>
              <w:t>F-38</w:t>
            </w: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calculations, because the impact of including them would have been anti-dilutive: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9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gridSpan w:val="3"/>
          </w:tcPr>
          <w:p>
            <w:pPr>
              <w:jc w:val="center"/>
              <w:ind w:left="90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13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3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155"/>
        </w:trPr>
        <w:tc>
          <w:tcPr>
            <w:tcW w:w="4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3"/>
          </w:tcPr>
          <w:p>
            <w:pPr>
              <w:jc w:val="center"/>
              <w:ind w:left="908"/>
              <w:spacing w:after="0" w:line="155"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960" w:type="dxa"/>
            <w:vAlign w:val="bottom"/>
            <w:shd w:val="clear" w:color="auto" w:fill="DDDDDD"/>
          </w:tcPr>
          <w:p>
            <w:pPr>
              <w:spacing w:after="0"/>
              <w:rPr>
                <w:sz w:val="20"/>
                <w:szCs w:val="20"/>
                <w:color w:val="auto"/>
              </w:rPr>
            </w:pPr>
            <w:r>
              <w:rPr>
                <w:rFonts w:ascii="Arial" w:cs="Arial" w:eastAsia="Arial" w:hAnsi="Arial"/>
                <w:sz w:val="14"/>
                <w:szCs w:val="14"/>
                <w:color w:val="auto"/>
              </w:rPr>
              <w:t>Redeemable convertible preferred stock</w:t>
            </w: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79,472,483</w:t>
            </w:r>
          </w:p>
        </w:tc>
        <w:tc>
          <w:tcPr>
            <w:tcW w:w="1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9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85,391,338</w:t>
            </w:r>
          </w:p>
        </w:tc>
        <w:tc>
          <w:tcPr>
            <w:tcW w:w="154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82,041,526</w:t>
            </w:r>
          </w:p>
        </w:tc>
        <w:tc>
          <w:tcPr>
            <w:tcW w:w="16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85,403,933</w:t>
            </w:r>
          </w:p>
        </w:tc>
        <w:tc>
          <w:tcPr>
            <w:tcW w:w="60" w:type="dxa"/>
            <w:vAlign w:val="bottom"/>
            <w:shd w:val="clear" w:color="auto" w:fill="DDDDDD"/>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Stock options</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17,889,502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19,028,454</w:t>
            </w:r>
          </w:p>
        </w:tc>
        <w:tc>
          <w:tcPr>
            <w:tcW w:w="1540" w:type="dxa"/>
            <w:vAlign w:val="bottom"/>
            <w:gridSpan w:val="2"/>
          </w:tcPr>
          <w:p>
            <w:pPr>
              <w:jc w:val="right"/>
              <w:ind w:right="8"/>
              <w:spacing w:after="0"/>
              <w:rPr>
                <w:sz w:val="20"/>
                <w:szCs w:val="20"/>
                <w:color w:val="auto"/>
              </w:rPr>
            </w:pPr>
            <w:r>
              <w:rPr>
                <w:rFonts w:ascii="Arial" w:cs="Arial" w:eastAsia="Arial" w:hAnsi="Arial"/>
                <w:sz w:val="14"/>
                <w:szCs w:val="14"/>
                <w:color w:val="auto"/>
              </w:rPr>
              <w:t>17,639,679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20,173,022</w:t>
            </w:r>
          </w:p>
        </w:tc>
        <w:tc>
          <w:tcPr>
            <w:tcW w:w="60" w:type="dxa"/>
            <w:vAlign w:val="bottom"/>
          </w:tcPr>
          <w:p>
            <w:pPr>
              <w:spacing w:after="0"/>
              <w:rPr>
                <w:sz w:val="14"/>
                <w:szCs w:val="14"/>
                <w:color w:val="auto"/>
              </w:rPr>
            </w:pPr>
          </w:p>
        </w:tc>
      </w:tr>
      <w:tr>
        <w:trPr>
          <w:trHeight w:val="162"/>
        </w:trPr>
        <w:tc>
          <w:tcPr>
            <w:tcW w:w="4960" w:type="dxa"/>
            <w:vAlign w:val="bottom"/>
            <w:shd w:val="clear" w:color="auto" w:fill="DDDDDD"/>
          </w:tcPr>
          <w:p>
            <w:pPr>
              <w:spacing w:after="0"/>
              <w:rPr>
                <w:sz w:val="20"/>
                <w:szCs w:val="20"/>
                <w:color w:val="auto"/>
              </w:rPr>
            </w:pPr>
            <w:r>
              <w:rPr>
                <w:rFonts w:ascii="Arial" w:cs="Arial" w:eastAsia="Arial" w:hAnsi="Arial"/>
                <w:sz w:val="14"/>
                <w:szCs w:val="14"/>
                <w:color w:val="auto"/>
              </w:rPr>
              <w:t>Early exercised common stock options subject to repurchase</w:t>
            </w: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2,337</w:t>
            </w:r>
          </w:p>
        </w:tc>
        <w:tc>
          <w:tcPr>
            <w:tcW w:w="1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9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24,927</w:t>
            </w:r>
          </w:p>
        </w:tc>
        <w:tc>
          <w:tcPr>
            <w:tcW w:w="16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10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r>
      <w:tr>
        <w:trPr>
          <w:trHeight w:val="169"/>
        </w:trPr>
        <w:tc>
          <w:tcPr>
            <w:tcW w:w="4960" w:type="dxa"/>
            <w:vAlign w:val="bottom"/>
          </w:tcPr>
          <w:p>
            <w:pPr>
              <w:spacing w:after="0"/>
              <w:rPr>
                <w:sz w:val="20"/>
                <w:szCs w:val="20"/>
                <w:color w:val="auto"/>
              </w:rPr>
            </w:pPr>
            <w:r>
              <w:rPr>
                <w:rFonts w:ascii="Arial" w:cs="Arial" w:eastAsia="Arial" w:hAnsi="Arial"/>
                <w:sz w:val="14"/>
                <w:szCs w:val="14"/>
                <w:color w:val="auto"/>
              </w:rPr>
              <w:t>Redeemable convertible preferred stock warrants</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12,595</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12,595</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12,595</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62"/>
        </w:trPr>
        <w:tc>
          <w:tcPr>
            <w:tcW w:w="4960" w:type="dxa"/>
            <w:vAlign w:val="bottom"/>
            <w:shd w:val="clear" w:color="auto" w:fill="DDDDDD"/>
          </w:tcPr>
          <w:p>
            <w:pPr>
              <w:spacing w:after="0"/>
              <w:rPr>
                <w:sz w:val="20"/>
                <w:szCs w:val="20"/>
                <w:color w:val="auto"/>
              </w:rPr>
            </w:pPr>
            <w:r>
              <w:rPr>
                <w:rFonts w:ascii="Arial" w:cs="Arial" w:eastAsia="Arial" w:hAnsi="Arial"/>
                <w:sz w:val="14"/>
                <w:szCs w:val="14"/>
                <w:color w:val="auto"/>
              </w:rPr>
              <w:t>Total potentially dilutive securities</w:t>
            </w: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97,376,917</w:t>
            </w:r>
          </w:p>
        </w:tc>
        <w:tc>
          <w:tcPr>
            <w:tcW w:w="16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9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104,432,387</w:t>
            </w:r>
          </w:p>
        </w:tc>
        <w:tc>
          <w:tcPr>
            <w:tcW w:w="154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99,718,727</w:t>
            </w:r>
          </w:p>
        </w:tc>
        <w:tc>
          <w:tcPr>
            <w:tcW w:w="16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105,576,955</w:t>
            </w:r>
          </w:p>
        </w:tc>
        <w:tc>
          <w:tcPr>
            <w:tcW w:w="60" w:type="dxa"/>
            <w:vAlign w:val="bottom"/>
            <w:shd w:val="clear" w:color="auto" w:fill="DDDDDD"/>
          </w:tcPr>
          <w:p>
            <w:pPr>
              <w:spacing w:after="0"/>
              <w:rPr>
                <w:sz w:val="14"/>
                <w:szCs w:val="14"/>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Segment and geographic information</w:t>
      </w:r>
    </w:p>
    <w:p>
      <w:pPr>
        <w:spacing w:after="0" w:line="130" w:lineRule="exact"/>
        <w:rPr>
          <w:sz w:val="20"/>
          <w:szCs w:val="20"/>
          <w:color w:val="auto"/>
        </w:rPr>
      </w:pPr>
    </w:p>
    <w:p>
      <w:pPr>
        <w:jc w:val="both"/>
        <w:ind w:left="120" w:right="120"/>
        <w:spacing w:after="0" w:line="246" w:lineRule="auto"/>
        <w:rPr>
          <w:sz w:val="20"/>
          <w:szCs w:val="20"/>
          <w:color w:val="auto"/>
        </w:rPr>
      </w:pPr>
      <w:r>
        <w:rPr>
          <w:rFonts w:ascii="Arial" w:cs="Arial" w:eastAsia="Arial" w:hAnsi="Arial"/>
          <w:sz w:val="18"/>
          <w:szCs w:val="18"/>
          <w:color w:val="auto"/>
        </w:rPr>
        <w:t>The Company’s Chief Executive Officer is its CODM. The CODM reviews separate financial information presented for the Company’s two segments, Consumer and Enterprise, in order to allocate resources and evaluate the Company’s financial performance.</w:t>
      </w:r>
    </w:p>
    <w:p>
      <w:pPr>
        <w:spacing w:after="0" w:line="197"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Consumer segment targets individual learners seeking to obtain hands-on learning, gain valuable job skills to advance their professional careers, or learn a new personal skill. The Enterprise segment is focused on helping business and government customers upskill and reskill their employees and public servants. The CODM measures the performance of each segment primarily based on segment revenue and segment gross profit.</w:t>
      </w:r>
    </w:p>
    <w:p>
      <w:pPr>
        <w:spacing w:after="0" w:line="205"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Segment gross profit, as presented below, is defined as segment revenue less segment cost of revenue. Segment cost of revenue includes content costs, hosting and platform costs, customer support services, and payment processing fees that are allocable to each segment. Segment gross profit excludes amortization of capitalized software, depreciation, and stock-based compensation allocated to cost of revenues as the CODM does not include the information in his measurement of the performance of the operating segments. Additionally, the Company does not allocate sales and marketing expenses, research and development expenses, and general and administrative expenses because the CODM does not include the information in his measurement of the performance of the operating segments. The Udemy platform supports the operations of each segment.</w:t>
      </w:r>
    </w:p>
    <w:p>
      <w:pPr>
        <w:spacing w:after="0" w:line="203" w:lineRule="exact"/>
        <w:rPr>
          <w:sz w:val="20"/>
          <w:szCs w:val="20"/>
          <w:color w:val="auto"/>
        </w:rPr>
      </w:pPr>
    </w:p>
    <w:p>
      <w:pPr>
        <w:ind w:left="120" w:right="320"/>
        <w:spacing w:after="0" w:line="274" w:lineRule="auto"/>
        <w:rPr>
          <w:sz w:val="20"/>
          <w:szCs w:val="20"/>
          <w:color w:val="auto"/>
        </w:rPr>
      </w:pPr>
      <w:r>
        <w:rPr>
          <w:rFonts w:ascii="Arial" w:cs="Arial" w:eastAsia="Arial" w:hAnsi="Arial"/>
          <w:sz w:val="17"/>
          <w:szCs w:val="17"/>
          <w:color w:val="auto"/>
        </w:rPr>
        <w:t>The CODM does not use asset information by segments to assess performance and make decisions regarding allocation of resources, and the Company does not track its long-lived assets by segment. The geographic identification of these assets is set forth below.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information for each reportable segment was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72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Revenue</w:t>
            </w:r>
          </w:p>
        </w:tc>
        <w:tc>
          <w:tcPr>
            <w:tcW w:w="16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r>
      <w:tr>
        <w:trPr>
          <w:trHeight w:val="162"/>
        </w:trPr>
        <w:tc>
          <w:tcPr>
            <w:tcW w:w="3720" w:type="dxa"/>
            <w:vAlign w:val="bottom"/>
          </w:tcPr>
          <w:p>
            <w:pPr>
              <w:ind w:left="260"/>
              <w:spacing w:after="0"/>
              <w:rPr>
                <w:sz w:val="20"/>
                <w:szCs w:val="20"/>
                <w:color w:val="auto"/>
              </w:rPr>
            </w:pPr>
            <w:r>
              <w:rPr>
                <w:rFonts w:ascii="Arial" w:cs="Arial" w:eastAsia="Arial" w:hAnsi="Arial"/>
                <w:sz w:val="14"/>
                <w:szCs w:val="14"/>
                <w:color w:val="auto"/>
              </w:rPr>
              <w:t>Consumer</w:t>
            </w:r>
          </w:p>
        </w:tc>
        <w:tc>
          <w:tcPr>
            <w:tcW w:w="1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225,500</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326,454</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157,257</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171,837</w:t>
            </w:r>
          </w:p>
        </w:tc>
        <w:tc>
          <w:tcPr>
            <w:tcW w:w="60" w:type="dxa"/>
            <w:vAlign w:val="bottom"/>
          </w:tcPr>
          <w:p>
            <w:pPr>
              <w:spacing w:after="0"/>
              <w:rPr>
                <w:sz w:val="14"/>
                <w:szCs w:val="14"/>
                <w:color w:val="auto"/>
              </w:rPr>
            </w:pPr>
          </w:p>
        </w:tc>
      </w:tr>
      <w:tr>
        <w:trPr>
          <w:trHeight w:val="162"/>
        </w:trPr>
        <w:tc>
          <w:tcPr>
            <w:tcW w:w="37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Enterprise</w:t>
            </w:r>
          </w:p>
        </w:tc>
        <w:tc>
          <w:tcPr>
            <w:tcW w:w="1660" w:type="dxa"/>
            <w:vAlign w:val="bottom"/>
            <w:shd w:val="clear" w:color="auto" w:fill="DDDDDD"/>
          </w:tcPr>
          <w:p>
            <w:pPr>
              <w:spacing w:after="0"/>
              <w:rPr>
                <w:sz w:val="14"/>
                <w:szCs w:val="14"/>
                <w:color w:val="auto"/>
              </w:rPr>
            </w:pPr>
          </w:p>
        </w:tc>
        <w:tc>
          <w:tcPr>
            <w:tcW w:w="280" w:type="dxa"/>
            <w:vAlign w:val="bottom"/>
            <w:tcBorders>
              <w:bottom w:val="single" w:sz="8" w:color="auto"/>
            </w:tcBorders>
            <w:shd w:val="clear" w:color="auto" w:fill="DDDDDD"/>
          </w:tcPr>
          <w:p>
            <w:pPr>
              <w:spacing w:after="0"/>
              <w:rPr>
                <w:sz w:val="14"/>
                <w:szCs w:val="14"/>
                <w:color w:val="auto"/>
              </w:rPr>
            </w:pPr>
          </w:p>
        </w:tc>
        <w:tc>
          <w:tcPr>
            <w:tcW w:w="10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50,827</w:t>
            </w:r>
          </w:p>
        </w:tc>
        <w:tc>
          <w:tcPr>
            <w:tcW w:w="140" w:type="dxa"/>
            <w:vAlign w:val="bottom"/>
            <w:shd w:val="clear" w:color="auto" w:fill="DDDDDD"/>
          </w:tcPr>
          <w:p>
            <w:pPr>
              <w:spacing w:after="0"/>
              <w:rPr>
                <w:sz w:val="14"/>
                <w:szCs w:val="14"/>
                <w:color w:val="auto"/>
              </w:rPr>
            </w:pPr>
          </w:p>
        </w:tc>
        <w:tc>
          <w:tcPr>
            <w:tcW w:w="280" w:type="dxa"/>
            <w:vAlign w:val="bottom"/>
            <w:tcBorders>
              <w:bottom w:val="single" w:sz="8" w:color="auto"/>
            </w:tcBorders>
            <w:shd w:val="clear" w:color="auto" w:fill="DDDDDD"/>
          </w:tcPr>
          <w:p>
            <w:pPr>
              <w:spacing w:after="0"/>
              <w:rPr>
                <w:sz w:val="14"/>
                <w:szCs w:val="14"/>
                <w:color w:val="auto"/>
              </w:rPr>
            </w:pP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103,445</w:t>
            </w:r>
          </w:p>
        </w:tc>
        <w:tc>
          <w:tcPr>
            <w:tcW w:w="16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44,111</w:t>
            </w:r>
          </w:p>
        </w:tc>
        <w:tc>
          <w:tcPr>
            <w:tcW w:w="140" w:type="dxa"/>
            <w:vAlign w:val="bottom"/>
            <w:shd w:val="clear" w:color="auto" w:fill="DDDDDD"/>
          </w:tcPr>
          <w:p>
            <w:pPr>
              <w:spacing w:after="0"/>
              <w:rPr>
                <w:sz w:val="14"/>
                <w:szCs w:val="14"/>
                <w:color w:val="auto"/>
              </w:rPr>
            </w:pPr>
          </w:p>
        </w:tc>
        <w:tc>
          <w:tcPr>
            <w:tcW w:w="420" w:type="dxa"/>
            <w:vAlign w:val="bottom"/>
            <w:tcBorders>
              <w:bottom w:val="single" w:sz="8" w:color="auto"/>
            </w:tcBorders>
            <w:shd w:val="clear" w:color="auto" w:fill="DDDDDD"/>
          </w:tcPr>
          <w:p>
            <w:pPr>
              <w:spacing w:after="0"/>
              <w:rPr>
                <w:sz w:val="14"/>
                <w:szCs w:val="14"/>
                <w:color w:val="auto"/>
              </w:rPr>
            </w:pPr>
          </w:p>
        </w:tc>
        <w:tc>
          <w:tcPr>
            <w:tcW w:w="9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78,806</w:t>
            </w:r>
          </w:p>
        </w:tc>
        <w:tc>
          <w:tcPr>
            <w:tcW w:w="60" w:type="dxa"/>
            <w:vAlign w:val="bottom"/>
            <w:shd w:val="clear" w:color="auto" w:fill="DDDDDD"/>
          </w:tcPr>
          <w:p>
            <w:pPr>
              <w:spacing w:after="0"/>
              <w:rPr>
                <w:sz w:val="14"/>
                <w:szCs w:val="14"/>
                <w:color w:val="auto"/>
              </w:rPr>
            </w:pPr>
          </w:p>
        </w:tc>
      </w:tr>
      <w:tr>
        <w:trPr>
          <w:trHeight w:val="169"/>
        </w:trPr>
        <w:tc>
          <w:tcPr>
            <w:tcW w:w="372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1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276,327</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429,899</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201,368</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250,643</w:t>
            </w:r>
          </w:p>
        </w:tc>
        <w:tc>
          <w:tcPr>
            <w:tcW w:w="60" w:type="dxa"/>
            <w:vAlign w:val="bottom"/>
          </w:tcPr>
          <w:p>
            <w:pPr>
              <w:spacing w:after="0"/>
              <w:rPr>
                <w:sz w:val="14"/>
                <w:szCs w:val="14"/>
                <w:color w:val="auto"/>
              </w:rPr>
            </w:pPr>
          </w:p>
        </w:tc>
      </w:tr>
      <w:tr>
        <w:trPr>
          <w:trHeight w:val="162"/>
        </w:trPr>
        <w:tc>
          <w:tcPr>
            <w:tcW w:w="3720" w:type="dxa"/>
            <w:vAlign w:val="bottom"/>
            <w:shd w:val="clear" w:color="auto" w:fill="DDDDDD"/>
          </w:tcPr>
          <w:p>
            <w:pPr>
              <w:spacing w:after="0"/>
              <w:rPr>
                <w:sz w:val="14"/>
                <w:szCs w:val="14"/>
                <w:color w:val="auto"/>
              </w:rPr>
            </w:pPr>
          </w:p>
        </w:tc>
        <w:tc>
          <w:tcPr>
            <w:tcW w:w="166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0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0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b w:val="1"/>
                <w:bCs w:val="1"/>
                <w:color w:val="auto"/>
              </w:rPr>
              <w:t>Segment cost of revenue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720" w:type="dxa"/>
            <w:vAlign w:val="bottom"/>
            <w:shd w:val="clear" w:color="auto" w:fill="DDDDDD"/>
          </w:tcPr>
          <w:p>
            <w:pPr>
              <w:ind w:left="260"/>
              <w:spacing w:after="0"/>
              <w:rPr>
                <w:sz w:val="20"/>
                <w:szCs w:val="20"/>
                <w:color w:val="auto"/>
              </w:rPr>
            </w:pPr>
            <w:r>
              <w:rPr>
                <w:rFonts w:ascii="Arial" w:cs="Arial" w:eastAsia="Arial" w:hAnsi="Arial"/>
                <w:sz w:val="14"/>
                <w:szCs w:val="14"/>
                <w:color w:val="auto"/>
              </w:rPr>
              <w:t>Consumer</w:t>
            </w:r>
          </w:p>
        </w:tc>
        <w:tc>
          <w:tcPr>
            <w:tcW w:w="166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118,669</w:t>
            </w:r>
          </w:p>
        </w:tc>
        <w:tc>
          <w:tcPr>
            <w:tcW w:w="14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165,804</w:t>
            </w:r>
          </w:p>
        </w:tc>
        <w:tc>
          <w:tcPr>
            <w:tcW w:w="1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85,863</w:t>
            </w:r>
          </w:p>
        </w:tc>
        <w:tc>
          <w:tcPr>
            <w:tcW w:w="14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81,363</w:t>
            </w:r>
          </w:p>
        </w:tc>
        <w:tc>
          <w:tcPr>
            <w:tcW w:w="60" w:type="dxa"/>
            <w:vAlign w:val="bottom"/>
            <w:shd w:val="clear" w:color="auto" w:fill="DDDDDD"/>
          </w:tcPr>
          <w:p>
            <w:pPr>
              <w:spacing w:after="0"/>
              <w:rPr>
                <w:sz w:val="14"/>
                <w:szCs w:val="14"/>
                <w:color w:val="auto"/>
              </w:rPr>
            </w:pPr>
          </w:p>
        </w:tc>
      </w:tr>
      <w:tr>
        <w:trPr>
          <w:trHeight w:val="169"/>
        </w:trPr>
        <w:tc>
          <w:tcPr>
            <w:tcW w:w="3720" w:type="dxa"/>
            <w:vAlign w:val="bottom"/>
          </w:tcPr>
          <w:p>
            <w:pPr>
              <w:ind w:left="260"/>
              <w:spacing w:after="0"/>
              <w:rPr>
                <w:sz w:val="20"/>
                <w:szCs w:val="20"/>
                <w:color w:val="auto"/>
              </w:rPr>
            </w:pPr>
            <w:r>
              <w:rPr>
                <w:rFonts w:ascii="Arial" w:cs="Arial" w:eastAsia="Arial" w:hAnsi="Arial"/>
                <w:sz w:val="14"/>
                <w:szCs w:val="14"/>
                <w:color w:val="auto"/>
              </w:rPr>
              <w:t>Enterprise</w:t>
            </w: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18,906</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35,519</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15,041</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27,413</w:t>
            </w:r>
          </w:p>
        </w:tc>
        <w:tc>
          <w:tcPr>
            <w:tcW w:w="60" w:type="dxa"/>
            <w:vAlign w:val="bottom"/>
          </w:tcPr>
          <w:p>
            <w:pPr>
              <w:spacing w:after="0"/>
              <w:rPr>
                <w:sz w:val="14"/>
                <w:szCs w:val="14"/>
                <w:color w:val="auto"/>
              </w:rPr>
            </w:pPr>
          </w:p>
        </w:tc>
      </w:tr>
      <w:tr>
        <w:trPr>
          <w:trHeight w:val="162"/>
        </w:trPr>
        <w:tc>
          <w:tcPr>
            <w:tcW w:w="372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Total segment cost of revenue</w:t>
            </w:r>
          </w:p>
        </w:tc>
        <w:tc>
          <w:tcPr>
            <w:tcW w:w="194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137,575</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201,323</w:t>
            </w:r>
          </w:p>
        </w:tc>
        <w:tc>
          <w:tcPr>
            <w:tcW w:w="4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100,904</w:t>
            </w:r>
          </w:p>
        </w:tc>
        <w:tc>
          <w:tcPr>
            <w:tcW w:w="5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108,776</w:t>
            </w:r>
          </w:p>
        </w:tc>
        <w:tc>
          <w:tcPr>
            <w:tcW w:w="60" w:type="dxa"/>
            <w:vAlign w:val="bottom"/>
            <w:shd w:val="clear" w:color="auto" w:fill="DDDDDD"/>
          </w:tcPr>
          <w:p>
            <w:pPr>
              <w:spacing w:after="0"/>
              <w:rPr>
                <w:sz w:val="14"/>
                <w:szCs w:val="14"/>
                <w:color w:val="auto"/>
              </w:rPr>
            </w:pPr>
          </w:p>
        </w:tc>
      </w:tr>
    </w:tbl>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420" w:type="dxa"/>
            <w:vAlign w:val="bottom"/>
            <w:tcBorders>
              <w:top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(unaudited)</w:t>
            </w: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Segment gross profit</w:t>
            </w:r>
          </w:p>
        </w:tc>
        <w:tc>
          <w:tcPr>
            <w:tcW w:w="1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Consumer</w:t>
            </w:r>
          </w:p>
        </w:tc>
        <w:tc>
          <w:tcPr>
            <w:tcW w:w="1860" w:type="dxa"/>
            <w:vAlign w:val="bottom"/>
            <w:gridSpan w:val="2"/>
          </w:tcPr>
          <w:p>
            <w:pPr>
              <w:jc w:val="right"/>
              <w:ind w:right="8"/>
              <w:spacing w:after="0"/>
              <w:rPr>
                <w:sz w:val="20"/>
                <w:szCs w:val="20"/>
                <w:color w:val="auto"/>
              </w:rPr>
            </w:pPr>
            <w:r>
              <w:rPr>
                <w:rFonts w:ascii="Arial" w:cs="Arial" w:eastAsia="Arial" w:hAnsi="Arial"/>
                <w:sz w:val="14"/>
                <w:szCs w:val="14"/>
                <w:color w:val="auto"/>
              </w:rPr>
              <w:t>106,831</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160,650</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71,394</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90,474</w:t>
            </w: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Enterprise</w:t>
            </w:r>
          </w:p>
        </w:tc>
        <w:tc>
          <w:tcPr>
            <w:tcW w:w="1140" w:type="dxa"/>
            <w:vAlign w:val="bottom"/>
            <w:shd w:val="clear" w:color="auto" w:fill="DDDDDD"/>
          </w:tcPr>
          <w:p>
            <w:pPr>
              <w:spacing w:after="0"/>
              <w:rPr>
                <w:sz w:val="14"/>
                <w:szCs w:val="14"/>
                <w:color w:val="auto"/>
              </w:rPr>
            </w:pPr>
          </w:p>
        </w:tc>
        <w:tc>
          <w:tcPr>
            <w:tcW w:w="7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31,921</w:t>
            </w:r>
          </w:p>
        </w:tc>
        <w:tc>
          <w:tcPr>
            <w:tcW w:w="680" w:type="dxa"/>
            <w:vAlign w:val="bottom"/>
            <w:shd w:val="clear" w:color="auto" w:fill="DDDDDD"/>
          </w:tcPr>
          <w:p>
            <w:pPr>
              <w:spacing w:after="0"/>
              <w:rPr>
                <w:sz w:val="14"/>
                <w:szCs w:val="14"/>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67,926</w:t>
            </w:r>
          </w:p>
        </w:tc>
        <w:tc>
          <w:tcPr>
            <w:tcW w:w="680" w:type="dxa"/>
            <w:vAlign w:val="bottom"/>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29,070</w:t>
            </w:r>
          </w:p>
        </w:tc>
        <w:tc>
          <w:tcPr>
            <w:tcW w:w="60" w:type="dxa"/>
            <w:vAlign w:val="bottom"/>
            <w:tcBorders>
              <w:bottom w:val="single" w:sz="8" w:color="auto"/>
            </w:tcBorders>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4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51,393</w:t>
            </w:r>
          </w:p>
        </w:tc>
        <w:tc>
          <w:tcPr>
            <w:tcW w:w="40" w:type="dxa"/>
            <w:vAlign w:val="bottom"/>
            <w:shd w:val="clear" w:color="auto" w:fill="DDDDDD"/>
          </w:tcPr>
          <w:p>
            <w:pPr>
              <w:spacing w:after="0"/>
              <w:rPr>
                <w:sz w:val="14"/>
                <w:szCs w:val="14"/>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b w:val="1"/>
                <w:bCs w:val="1"/>
                <w:color w:val="auto"/>
              </w:rPr>
              <w:t>Total segment gross profit</w:t>
            </w:r>
          </w:p>
        </w:tc>
        <w:tc>
          <w:tcPr>
            <w:tcW w:w="1860" w:type="dxa"/>
            <w:vAlign w:val="bottom"/>
            <w:gridSpan w:val="2"/>
          </w:tcPr>
          <w:p>
            <w:pPr>
              <w:jc w:val="right"/>
              <w:ind w:right="8"/>
              <w:spacing w:after="0"/>
              <w:rPr>
                <w:sz w:val="20"/>
                <w:szCs w:val="20"/>
                <w:color w:val="auto"/>
              </w:rPr>
            </w:pPr>
            <w:r>
              <w:rPr>
                <w:rFonts w:ascii="Arial" w:cs="Arial" w:eastAsia="Arial" w:hAnsi="Arial"/>
                <w:sz w:val="14"/>
                <w:szCs w:val="14"/>
                <w:color w:val="auto"/>
              </w:rPr>
              <w:t>$ 138,752</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$ 228,576</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100,464</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141,867</w:t>
            </w: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spacing w:after="0"/>
              <w:rPr>
                <w:sz w:val="14"/>
                <w:szCs w:val="14"/>
                <w:color w:val="auto"/>
              </w:rPr>
            </w:pPr>
          </w:p>
        </w:tc>
        <w:tc>
          <w:tcPr>
            <w:tcW w:w="1140" w:type="dxa"/>
            <w:vAlign w:val="bottom"/>
            <w:shd w:val="clear" w:color="auto" w:fill="DDDDDD"/>
          </w:tcPr>
          <w:p>
            <w:pPr>
              <w:spacing w:after="0"/>
              <w:rPr>
                <w:sz w:val="14"/>
                <w:szCs w:val="14"/>
                <w:color w:val="auto"/>
              </w:rPr>
            </w:pPr>
          </w:p>
        </w:tc>
        <w:tc>
          <w:tcPr>
            <w:tcW w:w="72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74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b w:val="1"/>
                <w:bCs w:val="1"/>
                <w:color w:val="auto"/>
              </w:rPr>
              <w:t>Reconciliation of segment gross profit to gross profit</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Amortization of capitalized software</w:t>
            </w:r>
          </w:p>
        </w:tc>
        <w:tc>
          <w:tcPr>
            <w:tcW w:w="18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4,909</w:t>
            </w:r>
          </w:p>
        </w:tc>
        <w:tc>
          <w:tcPr>
            <w:tcW w:w="142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6,894</w:t>
            </w:r>
          </w:p>
        </w:tc>
        <w:tc>
          <w:tcPr>
            <w:tcW w:w="6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3,236</w:t>
            </w:r>
          </w:p>
        </w:tc>
        <w:tc>
          <w:tcPr>
            <w:tcW w:w="60" w:type="dxa"/>
            <w:vAlign w:val="bottom"/>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6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4,188</w:t>
            </w:r>
          </w:p>
        </w:tc>
        <w:tc>
          <w:tcPr>
            <w:tcW w:w="40" w:type="dxa"/>
            <w:vAlign w:val="bottom"/>
            <w:shd w:val="clear" w:color="auto" w:fill="DDDDDD"/>
          </w:tcPr>
          <w:p>
            <w:pPr>
              <w:spacing w:after="0"/>
              <w:rPr>
                <w:sz w:val="14"/>
                <w:szCs w:val="14"/>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860" w:type="dxa"/>
            <w:vAlign w:val="bottom"/>
            <w:gridSpan w:val="2"/>
          </w:tcPr>
          <w:p>
            <w:pPr>
              <w:jc w:val="right"/>
              <w:ind w:right="8"/>
              <w:spacing w:after="0"/>
              <w:rPr>
                <w:sz w:val="20"/>
                <w:szCs w:val="20"/>
                <w:color w:val="auto"/>
              </w:rPr>
            </w:pPr>
            <w:r>
              <w:rPr>
                <w:rFonts w:ascii="Arial" w:cs="Arial" w:eastAsia="Arial" w:hAnsi="Arial"/>
                <w:sz w:val="14"/>
                <w:szCs w:val="14"/>
                <w:color w:val="auto"/>
              </w:rPr>
              <w:t>727</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618</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40" w:type="dxa"/>
            <w:vAlign w:val="bottom"/>
          </w:tcPr>
          <w:p>
            <w:pPr>
              <w:spacing w:after="0"/>
              <w:rPr>
                <w:sz w:val="14"/>
                <w:szCs w:val="14"/>
                <w:color w:val="auto"/>
              </w:rPr>
            </w:pPr>
          </w:p>
        </w:tc>
      </w:tr>
      <w:tr>
        <w:trPr>
          <w:trHeight w:val="162"/>
        </w:trPr>
        <w:tc>
          <w:tcPr>
            <w:tcW w:w="4780" w:type="dxa"/>
            <w:vAlign w:val="bottom"/>
            <w:shd w:val="clear" w:color="auto" w:fill="DDDDDD"/>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shd w:val="clear" w:color="auto" w:fill="DDDDDD"/>
          </w:tcPr>
          <w:p>
            <w:pPr>
              <w:spacing w:after="0"/>
              <w:rPr>
                <w:sz w:val="14"/>
                <w:szCs w:val="14"/>
                <w:color w:val="auto"/>
              </w:rPr>
            </w:pPr>
          </w:p>
        </w:tc>
        <w:tc>
          <w:tcPr>
            <w:tcW w:w="7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299</w:t>
            </w:r>
          </w:p>
        </w:tc>
        <w:tc>
          <w:tcPr>
            <w:tcW w:w="680" w:type="dxa"/>
            <w:vAlign w:val="bottom"/>
            <w:shd w:val="clear" w:color="auto" w:fill="DDDDDD"/>
          </w:tcPr>
          <w:p>
            <w:pPr>
              <w:spacing w:after="0"/>
              <w:rPr>
                <w:sz w:val="14"/>
                <w:szCs w:val="14"/>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418</w:t>
            </w:r>
          </w:p>
        </w:tc>
        <w:tc>
          <w:tcPr>
            <w:tcW w:w="680" w:type="dxa"/>
            <w:vAlign w:val="bottom"/>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191</w:t>
            </w:r>
          </w:p>
        </w:tc>
        <w:tc>
          <w:tcPr>
            <w:tcW w:w="60" w:type="dxa"/>
            <w:vAlign w:val="bottom"/>
            <w:tcBorders>
              <w:bottom w:val="single" w:sz="8" w:color="auto"/>
            </w:tcBorders>
            <w:shd w:val="clear" w:color="auto" w:fill="DDDDDD"/>
          </w:tcPr>
          <w:p>
            <w:pPr>
              <w:spacing w:after="0"/>
              <w:rPr>
                <w:sz w:val="14"/>
                <w:szCs w:val="14"/>
                <w:color w:val="auto"/>
              </w:rPr>
            </w:pPr>
          </w:p>
        </w:tc>
        <w:tc>
          <w:tcPr>
            <w:tcW w:w="680" w:type="dxa"/>
            <w:vAlign w:val="bottom"/>
            <w:shd w:val="clear" w:color="auto" w:fill="DDDDDD"/>
          </w:tcPr>
          <w:p>
            <w:pPr>
              <w:spacing w:after="0"/>
              <w:rPr>
                <w:sz w:val="14"/>
                <w:szCs w:val="14"/>
                <w:color w:val="auto"/>
              </w:rPr>
            </w:pPr>
          </w:p>
        </w:tc>
        <w:tc>
          <w:tcPr>
            <w:tcW w:w="14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537</w:t>
            </w:r>
          </w:p>
        </w:tc>
        <w:tc>
          <w:tcPr>
            <w:tcW w:w="40" w:type="dxa"/>
            <w:vAlign w:val="bottom"/>
            <w:shd w:val="clear" w:color="auto" w:fill="DDDDDD"/>
          </w:tcPr>
          <w:p>
            <w:pPr>
              <w:spacing w:after="0"/>
              <w:rPr>
                <w:sz w:val="14"/>
                <w:szCs w:val="14"/>
                <w:color w:val="auto"/>
              </w:rPr>
            </w:pPr>
          </w:p>
        </w:tc>
      </w:tr>
      <w:tr>
        <w:trPr>
          <w:trHeight w:val="176"/>
        </w:trPr>
        <w:tc>
          <w:tcPr>
            <w:tcW w:w="4780" w:type="dxa"/>
            <w:vAlign w:val="bottom"/>
          </w:tcPr>
          <w:p>
            <w:pPr>
              <w:ind w:left="260"/>
              <w:spacing w:after="0"/>
              <w:rPr>
                <w:sz w:val="20"/>
                <w:szCs w:val="20"/>
                <w:color w:val="auto"/>
              </w:rPr>
            </w:pPr>
            <w:r>
              <w:rPr>
                <w:rFonts w:ascii="Arial" w:cs="Arial" w:eastAsia="Arial" w:hAnsi="Arial"/>
                <w:sz w:val="14"/>
                <w:szCs w:val="14"/>
                <w:color w:val="auto"/>
              </w:rPr>
              <w:t>Total reconciling items</w:t>
            </w:r>
          </w:p>
        </w:tc>
        <w:tc>
          <w:tcPr>
            <w:tcW w:w="1140" w:type="dxa"/>
            <w:vAlign w:val="bottom"/>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5,935</w:t>
            </w:r>
          </w:p>
        </w:tc>
        <w:tc>
          <w:tcPr>
            <w:tcW w:w="680" w:type="dxa"/>
            <w:vAlign w:val="bottom"/>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3,766</w:t>
            </w:r>
          </w:p>
        </w:tc>
        <w:tc>
          <w:tcPr>
            <w:tcW w:w="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5,140</w:t>
            </w:r>
          </w:p>
        </w:tc>
        <w:tc>
          <w:tcPr>
            <w:tcW w:w="40" w:type="dxa"/>
            <w:vAlign w:val="bottom"/>
          </w:tcPr>
          <w:p>
            <w:pPr>
              <w:spacing w:after="0"/>
              <w:rPr>
                <w:sz w:val="15"/>
                <w:szCs w:val="15"/>
                <w:color w:val="auto"/>
              </w:rPr>
            </w:pPr>
          </w:p>
        </w:tc>
      </w:tr>
      <w:tr>
        <w:trPr>
          <w:trHeight w:val="162"/>
        </w:trPr>
        <w:tc>
          <w:tcPr>
            <w:tcW w:w="478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Total gross profit</w:t>
            </w:r>
          </w:p>
        </w:tc>
        <w:tc>
          <w:tcPr>
            <w:tcW w:w="18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$ 132,817</w:t>
            </w:r>
          </w:p>
        </w:tc>
        <w:tc>
          <w:tcPr>
            <w:tcW w:w="142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auto"/>
              </w:rPr>
              <w:t>$ 220,646</w:t>
            </w:r>
          </w:p>
        </w:tc>
        <w:tc>
          <w:tcPr>
            <w:tcW w:w="800" w:type="dxa"/>
            <w:vAlign w:val="bottom"/>
            <w:gridSpan w:val="2"/>
            <w:shd w:val="clear" w:color="auto" w:fill="DDDDDD"/>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96,698</w:t>
            </w:r>
          </w:p>
        </w:tc>
        <w:tc>
          <w:tcPr>
            <w:tcW w:w="880" w:type="dxa"/>
            <w:vAlign w:val="bottom"/>
            <w:gridSpan w:val="3"/>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136,727</w:t>
            </w:r>
          </w:p>
        </w:tc>
        <w:tc>
          <w:tcPr>
            <w:tcW w:w="40" w:type="dxa"/>
            <w:vAlign w:val="bottom"/>
            <w:shd w:val="clear" w:color="auto" w:fill="DDDDDD"/>
          </w:tcPr>
          <w:p>
            <w:pPr>
              <w:spacing w:after="0"/>
              <w:rPr>
                <w:sz w:val="14"/>
                <w:szCs w:val="14"/>
                <w:color w:val="auto"/>
              </w:rPr>
            </w:pPr>
          </w:p>
        </w:tc>
      </w:tr>
    </w:tbl>
    <w:p>
      <w:pPr>
        <w:spacing w:after="0" w:line="21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Subsequent to the issuance of the Company’s consolidated financial statements as of and for the years ended December 31, 2019 and 2020, the Company identified an error in the classification of segment cost of revenue between the Consumer and Enterprise segments. Management corrected the error in the table above by decreasing Consumer segment cost of revenue and increasing Enterprise segment cost of revenue by $4.1 million for the year ended December 31, 2019, and by decreasing Consumer segment cost of revenue and increasing Enterprise segment cost of revenue by $6.7 million for the year ended December 31, 2020. Consumer segment gross profit increased by $4.1 million and $6.7 million for the years ended December 31, 2019 and 2020, respectively, and Enterprise segment gross profit decreased by $4.1 million and $6.7 million for the years ended December 31, 2019 and 2020, respectively. Management considers such corrections to be immaterial to the previously issued consolidated financial statements.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The following table summarizes the revenue by region based on the billing address of the Company’s customers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155"/>
        </w:trPr>
        <w:tc>
          <w:tcPr>
            <w:tcW w:w="3560" w:type="dxa"/>
            <w:vAlign w:val="bottom"/>
            <w:tcBorders>
              <w:bottom w:val="single" w:sz="8" w:color="DDDDDD"/>
            </w:tcBorders>
          </w:tcPr>
          <w:p>
            <w:pPr>
              <w:spacing w:after="0"/>
              <w:rPr>
                <w:sz w:val="13"/>
                <w:szCs w:val="13"/>
                <w:color w:val="auto"/>
              </w:rPr>
            </w:pPr>
          </w:p>
        </w:tc>
        <w:tc>
          <w:tcPr>
            <w:tcW w:w="1820" w:type="dxa"/>
            <w:vAlign w:val="bottom"/>
            <w:tcBorders>
              <w:bottom w:val="single" w:sz="8" w:color="DDDDDD"/>
            </w:tcBorders>
          </w:tcPr>
          <w:p>
            <w:pPr>
              <w:spacing w:after="0"/>
              <w:rPr>
                <w:sz w:val="13"/>
                <w:szCs w:val="13"/>
                <w:color w:val="auto"/>
              </w:rPr>
            </w:pPr>
          </w:p>
        </w:tc>
        <w:tc>
          <w:tcPr>
            <w:tcW w:w="280" w:type="dxa"/>
            <w:vAlign w:val="bottom"/>
            <w:tcBorders>
              <w:bottom w:val="single" w:sz="8" w:color="DDDDDD"/>
            </w:tcBorders>
          </w:tcPr>
          <w:p>
            <w:pPr>
              <w:spacing w:after="0"/>
              <w:rPr>
                <w:sz w:val="13"/>
                <w:szCs w:val="13"/>
                <w:color w:val="auto"/>
              </w:rPr>
            </w:pPr>
          </w:p>
        </w:tc>
        <w:tc>
          <w:tcPr>
            <w:tcW w:w="1000" w:type="dxa"/>
            <w:vAlign w:val="bottom"/>
            <w:tcBorders>
              <w:bottom w:val="single" w:sz="8" w:color="DDDDDD"/>
            </w:tcBorders>
          </w:tcPr>
          <w:p>
            <w:pPr>
              <w:spacing w:after="0"/>
              <w:rPr>
                <w:sz w:val="13"/>
                <w:szCs w:val="13"/>
                <w:color w:val="auto"/>
              </w:rPr>
            </w:pPr>
          </w:p>
        </w:tc>
        <w:tc>
          <w:tcPr>
            <w:tcW w:w="140" w:type="dxa"/>
            <w:vAlign w:val="bottom"/>
            <w:tcBorders>
              <w:bottom w:val="single" w:sz="8" w:color="DDDDDD"/>
            </w:tcBorders>
          </w:tcPr>
          <w:p>
            <w:pPr>
              <w:spacing w:after="0"/>
              <w:rPr>
                <w:sz w:val="13"/>
                <w:szCs w:val="13"/>
                <w:color w:val="auto"/>
              </w:rPr>
            </w:pPr>
          </w:p>
        </w:tc>
        <w:tc>
          <w:tcPr>
            <w:tcW w:w="280" w:type="dxa"/>
            <w:vAlign w:val="bottom"/>
            <w:tcBorders>
              <w:bottom w:val="single" w:sz="8" w:color="DDDDDD"/>
            </w:tcBorders>
          </w:tcPr>
          <w:p>
            <w:pPr>
              <w:spacing w:after="0"/>
              <w:rPr>
                <w:sz w:val="13"/>
                <w:szCs w:val="13"/>
                <w:color w:val="auto"/>
              </w:rPr>
            </w:pPr>
          </w:p>
        </w:tc>
        <w:tc>
          <w:tcPr>
            <w:tcW w:w="980" w:type="dxa"/>
            <w:vAlign w:val="bottom"/>
            <w:tcBorders>
              <w:bottom w:val="single" w:sz="8" w:color="DDDDDD"/>
            </w:tcBorders>
          </w:tcPr>
          <w:p>
            <w:pPr>
              <w:spacing w:after="0"/>
              <w:rPr>
                <w:sz w:val="13"/>
                <w:szCs w:val="13"/>
                <w:color w:val="auto"/>
              </w:rPr>
            </w:pPr>
          </w:p>
        </w:tc>
        <w:tc>
          <w:tcPr>
            <w:tcW w:w="160" w:type="dxa"/>
            <w:vAlign w:val="bottom"/>
            <w:tcBorders>
              <w:bottom w:val="single" w:sz="8" w:color="DDDDDD"/>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(unaudited)</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DDDDDD"/>
            </w:tcBorders>
          </w:tcPr>
          <w:p>
            <w:pPr>
              <w:spacing w:after="0"/>
              <w:rPr>
                <w:sz w:val="13"/>
                <w:szCs w:val="13"/>
                <w:color w:val="auto"/>
              </w:rPr>
            </w:pPr>
          </w:p>
        </w:tc>
      </w:tr>
      <w:tr>
        <w:trPr>
          <w:trHeight w:val="155"/>
        </w:trPr>
        <w:tc>
          <w:tcPr>
            <w:tcW w:w="3560" w:type="dxa"/>
            <w:vAlign w:val="bottom"/>
            <w:shd w:val="clear" w:color="auto" w:fill="DDDDDD"/>
          </w:tcPr>
          <w:p>
            <w:pPr>
              <w:spacing w:after="0" w:line="155" w:lineRule="exact"/>
              <w:rPr>
                <w:sz w:val="20"/>
                <w:szCs w:val="20"/>
                <w:color w:val="auto"/>
              </w:rPr>
            </w:pPr>
            <w:r>
              <w:rPr>
                <w:rFonts w:ascii="Arial" w:cs="Arial" w:eastAsia="Arial" w:hAnsi="Arial"/>
                <w:sz w:val="14"/>
                <w:szCs w:val="14"/>
                <w:color w:val="auto"/>
              </w:rPr>
              <w:t>North America</w:t>
            </w:r>
          </w:p>
        </w:tc>
        <w:tc>
          <w:tcPr>
            <w:tcW w:w="2100" w:type="dxa"/>
            <w:vAlign w:val="bottom"/>
            <w:gridSpan w:val="2"/>
            <w:shd w:val="clear" w:color="auto" w:fill="DDDDDD"/>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113,604</w:t>
            </w:r>
          </w:p>
        </w:tc>
        <w:tc>
          <w:tcPr>
            <w:tcW w:w="420" w:type="dxa"/>
            <w:vAlign w:val="bottom"/>
            <w:gridSpan w:val="2"/>
            <w:shd w:val="clear" w:color="auto" w:fill="DDDDDD"/>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168,612</w:t>
            </w:r>
          </w:p>
        </w:tc>
        <w:tc>
          <w:tcPr>
            <w:tcW w:w="420" w:type="dxa"/>
            <w:vAlign w:val="bottom"/>
            <w:gridSpan w:val="2"/>
            <w:shd w:val="clear" w:color="auto" w:fill="DDDDDD"/>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80,140</w:t>
            </w:r>
          </w:p>
        </w:tc>
        <w:tc>
          <w:tcPr>
            <w:tcW w:w="560" w:type="dxa"/>
            <w:vAlign w:val="bottom"/>
            <w:gridSpan w:val="2"/>
            <w:shd w:val="clear" w:color="auto" w:fill="DDDDDD"/>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ind w:right="8"/>
              <w:spacing w:after="0" w:line="155" w:lineRule="exact"/>
              <w:rPr>
                <w:sz w:val="20"/>
                <w:szCs w:val="20"/>
                <w:color w:val="auto"/>
              </w:rPr>
            </w:pPr>
            <w:r>
              <w:rPr>
                <w:rFonts w:ascii="Arial" w:cs="Arial" w:eastAsia="Arial" w:hAnsi="Arial"/>
                <w:sz w:val="14"/>
                <w:szCs w:val="14"/>
                <w:color w:val="auto"/>
              </w:rPr>
              <w:t>97,216</w:t>
            </w:r>
          </w:p>
        </w:tc>
        <w:tc>
          <w:tcPr>
            <w:tcW w:w="60" w:type="dxa"/>
            <w:vAlign w:val="bottom"/>
            <w:shd w:val="clear" w:color="auto" w:fill="DDDDDD"/>
          </w:tcPr>
          <w:p>
            <w:pPr>
              <w:spacing w:after="0"/>
              <w:rPr>
                <w:sz w:val="13"/>
                <w:szCs w:val="13"/>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Europe, Middle East, Africa</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88,637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139,005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67,051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85,616</w:t>
            </w:r>
          </w:p>
        </w:tc>
        <w:tc>
          <w:tcPr>
            <w:tcW w:w="60" w:type="dxa"/>
            <w:vAlign w:val="bottom"/>
          </w:tcPr>
          <w:p>
            <w:pPr>
              <w:spacing w:after="0"/>
              <w:rPr>
                <w:sz w:val="14"/>
                <w:szCs w:val="14"/>
                <w:color w:val="auto"/>
              </w:rPr>
            </w:pPr>
          </w:p>
        </w:tc>
      </w:tr>
      <w:tr>
        <w:trPr>
          <w:trHeight w:val="162"/>
        </w:trPr>
        <w:tc>
          <w:tcPr>
            <w:tcW w:w="3560" w:type="dxa"/>
            <w:vAlign w:val="bottom"/>
            <w:shd w:val="clear" w:color="auto" w:fill="DDDDDD"/>
          </w:tcPr>
          <w:p>
            <w:pPr>
              <w:spacing w:after="0"/>
              <w:rPr>
                <w:sz w:val="20"/>
                <w:szCs w:val="20"/>
                <w:color w:val="auto"/>
              </w:rPr>
            </w:pPr>
            <w:r>
              <w:rPr>
                <w:rFonts w:ascii="Arial" w:cs="Arial" w:eastAsia="Arial" w:hAnsi="Arial"/>
                <w:sz w:val="14"/>
                <w:szCs w:val="14"/>
                <w:color w:val="auto"/>
              </w:rPr>
              <w:t>Asia Pacific</w:t>
            </w:r>
          </w:p>
        </w:tc>
        <w:tc>
          <w:tcPr>
            <w:tcW w:w="182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47,047</w:t>
            </w:r>
          </w:p>
        </w:tc>
        <w:tc>
          <w:tcPr>
            <w:tcW w:w="14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85,847</w:t>
            </w:r>
          </w:p>
        </w:tc>
        <w:tc>
          <w:tcPr>
            <w:tcW w:w="16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37,394</w:t>
            </w:r>
          </w:p>
        </w:tc>
        <w:tc>
          <w:tcPr>
            <w:tcW w:w="14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48,309</w:t>
            </w:r>
          </w:p>
        </w:tc>
        <w:tc>
          <w:tcPr>
            <w:tcW w:w="60" w:type="dxa"/>
            <w:vAlign w:val="bottom"/>
            <w:shd w:val="clear" w:color="auto" w:fill="DDDDDD"/>
          </w:tcPr>
          <w:p>
            <w:pPr>
              <w:spacing w:after="0"/>
              <w:rPr>
                <w:sz w:val="14"/>
                <w:szCs w:val="14"/>
                <w:color w:val="auto"/>
              </w:rPr>
            </w:pPr>
          </w:p>
        </w:tc>
      </w:tr>
      <w:tr>
        <w:trPr>
          <w:trHeight w:val="169"/>
        </w:trPr>
        <w:tc>
          <w:tcPr>
            <w:tcW w:w="3560" w:type="dxa"/>
            <w:vAlign w:val="bottom"/>
          </w:tcPr>
          <w:p>
            <w:pPr>
              <w:spacing w:after="0"/>
              <w:rPr>
                <w:sz w:val="20"/>
                <w:szCs w:val="20"/>
                <w:color w:val="auto"/>
              </w:rPr>
            </w:pPr>
            <w:r>
              <w:rPr>
                <w:rFonts w:ascii="Arial" w:cs="Arial" w:eastAsia="Arial" w:hAnsi="Arial"/>
                <w:sz w:val="14"/>
                <w:szCs w:val="14"/>
                <w:color w:val="auto"/>
              </w:rPr>
              <w:t>Latin America</w:t>
            </w:r>
          </w:p>
        </w:tc>
        <w:tc>
          <w:tcPr>
            <w:tcW w:w="1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27,039</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36,435</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16,783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19,502</w:t>
            </w:r>
          </w:p>
        </w:tc>
        <w:tc>
          <w:tcPr>
            <w:tcW w:w="60" w:type="dxa"/>
            <w:vAlign w:val="bottom"/>
          </w:tcPr>
          <w:p>
            <w:pPr>
              <w:spacing w:after="0"/>
              <w:rPr>
                <w:sz w:val="14"/>
                <w:szCs w:val="14"/>
                <w:color w:val="auto"/>
              </w:rPr>
            </w:pPr>
          </w:p>
        </w:tc>
      </w:tr>
      <w:tr>
        <w:trPr>
          <w:trHeight w:val="162"/>
        </w:trPr>
        <w:tc>
          <w:tcPr>
            <w:tcW w:w="356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Total revenue</w:t>
            </w:r>
          </w:p>
        </w:tc>
        <w:tc>
          <w:tcPr>
            <w:tcW w:w="210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276,327</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429,899</w:t>
            </w:r>
          </w:p>
        </w:tc>
        <w:tc>
          <w:tcPr>
            <w:tcW w:w="4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201,368</w:t>
            </w:r>
          </w:p>
        </w:tc>
        <w:tc>
          <w:tcPr>
            <w:tcW w:w="560" w:type="dxa"/>
            <w:vAlign w:val="bottom"/>
            <w:gridSpan w:val="2"/>
            <w:shd w:val="clear" w:color="auto" w:fill="DDDDDD"/>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250,643</w:t>
            </w:r>
          </w:p>
        </w:tc>
        <w:tc>
          <w:tcPr>
            <w:tcW w:w="60" w:type="dxa"/>
            <w:vAlign w:val="bottom"/>
            <w:shd w:val="clear" w:color="auto" w:fill="DDDDDD"/>
          </w:tcPr>
          <w:p>
            <w:pPr>
              <w:spacing w:after="0"/>
              <w:rPr>
                <w:sz w:val="14"/>
                <w:szCs w:val="14"/>
                <w:color w:val="auto"/>
              </w:rPr>
            </w:pPr>
          </w:p>
        </w:tc>
      </w:tr>
    </w:tbl>
    <w:p>
      <w:pPr>
        <w:spacing w:after="0" w:line="215"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United States accounted for 37% and 35% of the Company’s total revenue during the years ended December 31, 2019 and 2020, respectively. The United States accounted for 36% and 34% of the Company’s total revenue during the six months ended June 30, 2020 and 2021 (unaudited). No other single country represented 10% or more of the Company’s total revenue during the years ended December 31, 2019 and 2020, or during the six months ended June 30, 2020 and 2021 (unaudited).</w:t>
      </w:r>
    </w:p>
    <w:p>
      <w:pPr>
        <w:spacing w:after="0" w:line="187" w:lineRule="exact"/>
        <w:rPr>
          <w:sz w:val="20"/>
          <w:szCs w:val="20"/>
          <w:color w:val="auto"/>
        </w:rPr>
      </w:pPr>
    </w:p>
    <w:p>
      <w:pPr>
        <w:ind w:left="120" w:right="140"/>
        <w:spacing w:after="0" w:line="267"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The following table presents the Company’s long-lived assets, which consist of tangible property and equipment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by geographic region (in thousands):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5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16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55"/>
        </w:trPr>
        <w:tc>
          <w:tcPr>
            <w:tcW w:w="5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48"/>
              <w:spacing w:after="0" w:line="155"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3"/>
                <w:szCs w:val="13"/>
                <w:color w:val="auto"/>
              </w:rPr>
            </w:pPr>
          </w:p>
        </w:tc>
      </w:tr>
      <w:tr>
        <w:trPr>
          <w:trHeight w:val="162"/>
        </w:trPr>
        <w:tc>
          <w:tcPr>
            <w:tcW w:w="5100" w:type="dxa"/>
            <w:vAlign w:val="bottom"/>
            <w:shd w:val="clear" w:color="auto" w:fill="DDDDDD"/>
          </w:tcPr>
          <w:p>
            <w:pPr>
              <w:spacing w:after="0"/>
              <w:rPr>
                <w:sz w:val="20"/>
                <w:szCs w:val="20"/>
                <w:color w:val="auto"/>
              </w:rPr>
            </w:pPr>
            <w:r>
              <w:rPr>
                <w:rFonts w:ascii="Arial" w:cs="Arial" w:eastAsia="Arial" w:hAnsi="Arial"/>
                <w:sz w:val="14"/>
                <w:szCs w:val="14"/>
                <w:color w:val="auto"/>
              </w:rPr>
              <w:t>North America</w:t>
            </w:r>
          </w:p>
        </w:tc>
        <w:tc>
          <w:tcPr>
            <w:tcW w:w="34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5,788</w:t>
            </w:r>
          </w:p>
        </w:tc>
        <w:tc>
          <w:tcPr>
            <w:tcW w:w="10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5,327</w:t>
            </w: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7,273</w:t>
            </w:r>
          </w:p>
        </w:tc>
        <w:tc>
          <w:tcPr>
            <w:tcW w:w="40" w:type="dxa"/>
            <w:vAlign w:val="bottom"/>
            <w:shd w:val="clear" w:color="auto" w:fill="DDDDDD"/>
          </w:tcPr>
          <w:p>
            <w:pPr>
              <w:spacing w:after="0"/>
              <w:rPr>
                <w:sz w:val="14"/>
                <w:szCs w:val="14"/>
                <w:color w:val="auto"/>
              </w:rPr>
            </w:pPr>
          </w:p>
        </w:tc>
      </w:tr>
      <w:tr>
        <w:trPr>
          <w:trHeight w:val="169"/>
        </w:trPr>
        <w:tc>
          <w:tcPr>
            <w:tcW w:w="5100" w:type="dxa"/>
            <w:vAlign w:val="bottom"/>
          </w:tcPr>
          <w:p>
            <w:pPr>
              <w:spacing w:after="0"/>
              <w:rPr>
                <w:sz w:val="20"/>
                <w:szCs w:val="20"/>
                <w:color w:val="auto"/>
              </w:rPr>
            </w:pPr>
            <w:r>
              <w:rPr>
                <w:rFonts w:ascii="Arial" w:cs="Arial" w:eastAsia="Arial" w:hAnsi="Arial"/>
                <w:sz w:val="14"/>
                <w:szCs w:val="14"/>
                <w:color w:val="auto"/>
              </w:rPr>
              <w:t>Rest of world</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2,025</w:t>
            </w:r>
          </w:p>
        </w:tc>
        <w:tc>
          <w:tcPr>
            <w:tcW w:w="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3,653</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3,301</w:t>
            </w:r>
          </w:p>
        </w:tc>
        <w:tc>
          <w:tcPr>
            <w:tcW w:w="40" w:type="dxa"/>
            <w:vAlign w:val="bottom"/>
          </w:tcPr>
          <w:p>
            <w:pPr>
              <w:spacing w:after="0"/>
              <w:rPr>
                <w:sz w:val="14"/>
                <w:szCs w:val="14"/>
                <w:color w:val="auto"/>
              </w:rPr>
            </w:pPr>
          </w:p>
        </w:tc>
      </w:tr>
      <w:tr>
        <w:trPr>
          <w:trHeight w:val="162"/>
        </w:trPr>
        <w:tc>
          <w:tcPr>
            <w:tcW w:w="5100" w:type="dxa"/>
            <w:vAlign w:val="bottom"/>
            <w:shd w:val="clear" w:color="auto" w:fill="DDDDDD"/>
          </w:tcPr>
          <w:p>
            <w:pPr>
              <w:spacing w:after="0"/>
              <w:rPr>
                <w:sz w:val="20"/>
                <w:szCs w:val="20"/>
                <w:color w:val="auto"/>
              </w:rPr>
            </w:pPr>
            <w:r>
              <w:rPr>
                <w:rFonts w:ascii="Arial" w:cs="Arial" w:eastAsia="Arial" w:hAnsi="Arial"/>
                <w:sz w:val="14"/>
                <w:szCs w:val="14"/>
                <w:b w:val="1"/>
                <w:bCs w:val="1"/>
                <w:color w:val="auto"/>
              </w:rPr>
              <w:t>Total long-lived assets</w:t>
            </w:r>
          </w:p>
        </w:tc>
        <w:tc>
          <w:tcPr>
            <w:tcW w:w="34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7,813</w:t>
            </w:r>
          </w:p>
        </w:tc>
        <w:tc>
          <w:tcPr>
            <w:tcW w:w="1080" w:type="dxa"/>
            <w:vAlign w:val="bottom"/>
            <w:gridSpan w:val="2"/>
            <w:shd w:val="clear" w:color="auto" w:fill="DDDDDD"/>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8,980</w:t>
            </w:r>
          </w:p>
        </w:tc>
        <w:tc>
          <w:tcPr>
            <w:tcW w:w="94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10,574</w:t>
            </w:r>
          </w:p>
        </w:tc>
        <w:tc>
          <w:tcPr>
            <w:tcW w:w="40" w:type="dxa"/>
            <w:vAlign w:val="bottom"/>
            <w:shd w:val="clear" w:color="auto" w:fill="DDDDDD"/>
          </w:tcPr>
          <w:p>
            <w:pPr>
              <w:spacing w:after="0"/>
              <w:rPr>
                <w:sz w:val="14"/>
                <w:szCs w:val="14"/>
                <w:color w:val="auto"/>
              </w:rPr>
            </w:pPr>
          </w:p>
        </w:tc>
      </w:tr>
    </w:tbl>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16. Subsequent events</w:t>
      </w:r>
    </w:p>
    <w:p>
      <w:pPr>
        <w:spacing w:after="0" w:line="13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The Company evaluated subsequent events for recognition and disclosure through the original issuance date of May 25, 2021, the date which these audited consolidated financial statements were available to be issued, and July 9, 2021, as it relates to the immaterial restatement discussed in Note 15. Where applicable, such events are appropriately reflected and/or disclosed in these consolidated financial statements.</w:t>
      </w:r>
    </w:p>
    <w:p>
      <w:pPr>
        <w:spacing w:after="0" w:line="20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Subsequent to December 31, 2020, the Company granted stock options to purchase 2,773,284 shares of common stock with a weighted-average exercise price of $13.63 per share.</w:t>
      </w:r>
    </w:p>
    <w:p>
      <w:pPr>
        <w:spacing w:after="0" w:line="19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Subsequent to December 31, 2020, the Company facilitated a tender offer for certain eligible employees to sell vested stock options and outstanding shares of common stock to an existing investor. Further, there have been several secondary stock sale transactions including employees or former employees who sold their shares to third parties. Where the Company has concluded that such transfers include a deemed compensatory element, the Company has recorded stock-based compensation expense in the consolidated statements of operations in the period in which the transaction occurred, equal to the excess of the purchase price over the fair market value of the Company’s common stock at the time of the transaction.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17. Subsequent events (unaudited)</w:t>
      </w:r>
    </w:p>
    <w:p>
      <w:pPr>
        <w:spacing w:after="0" w:line="130"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In preparing the unaudited interim consolidated financial statements as of June 30, 2021 and for the six months ended June 30, 2020 and 2021, the Company has evaluated subsequent events through October 19, 2021, the date the unaudited interim consolidated financial statements were available for issuance.</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 August 15, 2021, the Company entered into an Agreement and Plan of Merger (the “Merger Agreement”) with CUX (d/b/a CorpU), or CorpU, to acquire all outstanding shares of CorpU for approximately $30.4 million, payable in cash and 61,300 shares of Udemy restricted common stock. The merger transaction closed on August 24, 2021. CorpU operates an online learning platform and content catalogue focused on blended executive training. As of the date that the unaudited interim consolidated financial statements were available for issuance, the initial accounting for the Merger Agreement was not yet finalized.</w:t>
      </w:r>
    </w:p>
    <w:p>
      <w:pPr>
        <w:spacing w:after="0" w:line="202"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On September 28, 2021, the Board of Directors approved an increase in the number of shares of common stock authorized for issuance under the 2010 Equity Incentive Plan by 850,000 shares to 44,340,706 shares. Additionally, the Company granted stock options to purchase 1,773,605 shares of common stock with a weighted-average exercise price of $34.14 per share.</w:t>
      </w:r>
    </w:p>
    <w:p>
      <w:pPr>
        <w:spacing w:after="0" w:line="20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On October 19, 2021, the Company entered into a preferred stock purchase agreement to make a strategic investment in a privately held online education platform technology company for up to $15.0 million in cash. Subject to certain closing conditions, the Company expects the investment to close in two tranches, the first tranche of $10.0 million during the period ending December 31, 2021, and the second tranche of $5.0 million during the fiscal year ending December 31, 2022.</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 *</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14,500,000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183515</wp:posOffset>
            </wp:positionV>
            <wp:extent cx="3368675" cy="12687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86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85"/>
        </w:trPr>
        <w:tc>
          <w:tcPr>
            <w:tcW w:w="1820" w:type="dxa"/>
            <w:vAlign w:val="bottom"/>
          </w:tcPr>
          <w:p>
            <w:pPr>
              <w:spacing w:after="0"/>
              <w:rPr>
                <w:sz w:val="24"/>
                <w:szCs w:val="24"/>
                <w:color w:val="auto"/>
              </w:rPr>
            </w:pPr>
          </w:p>
        </w:tc>
        <w:tc>
          <w:tcPr>
            <w:tcW w:w="3260" w:type="dxa"/>
            <w:vAlign w:val="bottom"/>
          </w:tcPr>
          <w:p>
            <w:pPr>
              <w:ind w:left="160"/>
              <w:spacing w:after="0"/>
              <w:rPr>
                <w:sz w:val="20"/>
                <w:szCs w:val="20"/>
                <w:color w:val="auto"/>
              </w:rPr>
            </w:pPr>
            <w:r>
              <w:rPr>
                <w:rFonts w:ascii="Arial" w:cs="Arial" w:eastAsia="Arial" w:hAnsi="Arial"/>
                <w:sz w:val="22"/>
                <w:szCs w:val="22"/>
                <w:b w:val="1"/>
                <w:bCs w:val="1"/>
                <w:color w:val="auto"/>
              </w:rPr>
              <w:t>Morgan Stanley</w:t>
            </w:r>
          </w:p>
        </w:tc>
        <w:tc>
          <w:tcPr>
            <w:tcW w:w="2400" w:type="dxa"/>
            <w:vAlign w:val="bottom"/>
          </w:tcPr>
          <w:p>
            <w:pPr>
              <w:spacing w:after="0"/>
              <w:rPr>
                <w:sz w:val="24"/>
                <w:szCs w:val="24"/>
                <w:color w:val="auto"/>
              </w:rPr>
            </w:pPr>
          </w:p>
        </w:tc>
        <w:tc>
          <w:tcPr>
            <w:tcW w:w="1520" w:type="dxa"/>
            <w:vAlign w:val="bottom"/>
          </w:tcPr>
          <w:p>
            <w:pPr>
              <w:ind w:left="260"/>
              <w:spacing w:after="0"/>
              <w:rPr>
                <w:sz w:val="20"/>
                <w:szCs w:val="20"/>
                <w:color w:val="auto"/>
              </w:rPr>
            </w:pPr>
            <w:r>
              <w:rPr>
                <w:rFonts w:ascii="Arial" w:cs="Arial" w:eastAsia="Arial" w:hAnsi="Arial"/>
                <w:sz w:val="22"/>
                <w:szCs w:val="22"/>
                <w:b w:val="1"/>
                <w:bCs w:val="1"/>
                <w:color w:val="auto"/>
                <w:w w:val="99"/>
              </w:rPr>
              <w:t>J.P. Morgan</w:t>
            </w:r>
          </w:p>
        </w:tc>
        <w:tc>
          <w:tcPr>
            <w:tcW w:w="2020" w:type="dxa"/>
            <w:vAlign w:val="bottom"/>
          </w:tcPr>
          <w:p>
            <w:pPr>
              <w:spacing w:after="0"/>
              <w:rPr>
                <w:sz w:val="24"/>
                <w:szCs w:val="24"/>
                <w:color w:val="auto"/>
              </w:rPr>
            </w:pPr>
          </w:p>
        </w:tc>
      </w:tr>
      <w:tr>
        <w:trPr>
          <w:trHeight w:val="260"/>
        </w:trPr>
        <w:tc>
          <w:tcPr>
            <w:tcW w:w="1820" w:type="dxa"/>
            <w:vAlign w:val="bottom"/>
          </w:tcPr>
          <w:p>
            <w:pPr>
              <w:ind w:left="960"/>
              <w:spacing w:after="0"/>
              <w:rPr>
                <w:sz w:val="20"/>
                <w:szCs w:val="20"/>
                <w:color w:val="auto"/>
              </w:rPr>
            </w:pPr>
            <w:r>
              <w:rPr>
                <w:rFonts w:ascii="Arial" w:cs="Arial" w:eastAsia="Arial" w:hAnsi="Arial"/>
                <w:sz w:val="18"/>
                <w:szCs w:val="18"/>
                <w:color w:val="auto"/>
              </w:rPr>
              <w:t>Citigroup</w:t>
            </w:r>
          </w:p>
        </w:tc>
        <w:tc>
          <w:tcPr>
            <w:tcW w:w="3260" w:type="dxa"/>
            <w:vAlign w:val="bottom"/>
          </w:tcPr>
          <w:p>
            <w:pPr>
              <w:ind w:left="1660"/>
              <w:spacing w:after="0"/>
              <w:rPr>
                <w:sz w:val="20"/>
                <w:szCs w:val="20"/>
                <w:color w:val="auto"/>
              </w:rPr>
            </w:pPr>
            <w:r>
              <w:rPr>
                <w:rFonts w:ascii="Arial" w:cs="Arial" w:eastAsia="Arial" w:hAnsi="Arial"/>
                <w:sz w:val="18"/>
                <w:szCs w:val="18"/>
                <w:color w:val="auto"/>
              </w:rPr>
              <w:t>BofA Securities</w:t>
            </w:r>
          </w:p>
        </w:tc>
        <w:tc>
          <w:tcPr>
            <w:tcW w:w="2400" w:type="dxa"/>
            <w:vAlign w:val="bottom"/>
          </w:tcPr>
          <w:p>
            <w:pPr>
              <w:ind w:left="1480"/>
              <w:spacing w:after="0"/>
              <w:rPr>
                <w:sz w:val="20"/>
                <w:szCs w:val="20"/>
                <w:color w:val="auto"/>
              </w:rPr>
            </w:pPr>
            <w:r>
              <w:rPr>
                <w:rFonts w:ascii="Arial" w:cs="Arial" w:eastAsia="Arial" w:hAnsi="Arial"/>
                <w:sz w:val="18"/>
                <w:szCs w:val="18"/>
                <w:color w:val="auto"/>
              </w:rPr>
              <w:t>Jefferies</w:t>
            </w:r>
          </w:p>
        </w:tc>
        <w:tc>
          <w:tcPr>
            <w:tcW w:w="1520" w:type="dxa"/>
            <w:vAlign w:val="bottom"/>
          </w:tcPr>
          <w:p>
            <w:pPr>
              <w:spacing w:after="0"/>
              <w:rPr>
                <w:sz w:val="22"/>
                <w:szCs w:val="22"/>
                <w:color w:val="auto"/>
              </w:rPr>
            </w:pPr>
          </w:p>
        </w:tc>
        <w:tc>
          <w:tcPr>
            <w:tcW w:w="2020" w:type="dxa"/>
            <w:vAlign w:val="bottom"/>
          </w:tcPr>
          <w:p>
            <w:pPr>
              <w:ind w:left="60"/>
              <w:spacing w:after="0"/>
              <w:rPr>
                <w:sz w:val="20"/>
                <w:szCs w:val="20"/>
                <w:color w:val="auto"/>
              </w:rPr>
            </w:pPr>
            <w:r>
              <w:rPr>
                <w:rFonts w:ascii="Arial" w:cs="Arial" w:eastAsia="Arial" w:hAnsi="Arial"/>
                <w:sz w:val="18"/>
                <w:szCs w:val="18"/>
                <w:color w:val="auto"/>
              </w:rPr>
              <w:t>Truist Securities</w:t>
            </w:r>
          </w:p>
        </w:tc>
      </w:tr>
      <w:tr>
        <w:trPr>
          <w:trHeight w:val="271"/>
        </w:trPr>
        <w:tc>
          <w:tcPr>
            <w:tcW w:w="1820" w:type="dxa"/>
            <w:vAlign w:val="bottom"/>
          </w:tcPr>
          <w:p>
            <w:pPr>
              <w:spacing w:after="0"/>
              <w:rPr>
                <w:sz w:val="20"/>
                <w:szCs w:val="20"/>
                <w:color w:val="auto"/>
              </w:rPr>
            </w:pPr>
            <w:r>
              <w:rPr>
                <w:rFonts w:ascii="Arial" w:cs="Arial" w:eastAsia="Arial" w:hAnsi="Arial"/>
                <w:sz w:val="14"/>
                <w:szCs w:val="14"/>
                <w:color w:val="auto"/>
              </w:rPr>
              <w:t>KeyBanc Capital Markets</w:t>
            </w:r>
          </w:p>
        </w:tc>
        <w:tc>
          <w:tcPr>
            <w:tcW w:w="3260" w:type="dxa"/>
            <w:vAlign w:val="bottom"/>
          </w:tcPr>
          <w:p>
            <w:pPr>
              <w:ind w:left="1280"/>
              <w:spacing w:after="0"/>
              <w:rPr>
                <w:sz w:val="20"/>
                <w:szCs w:val="20"/>
                <w:color w:val="auto"/>
              </w:rPr>
            </w:pPr>
            <w:r>
              <w:rPr>
                <w:rFonts w:ascii="Arial" w:cs="Arial" w:eastAsia="Arial" w:hAnsi="Arial"/>
                <w:sz w:val="14"/>
                <w:szCs w:val="14"/>
                <w:color w:val="auto"/>
              </w:rPr>
              <w:t>Piper Sandler</w:t>
            </w:r>
          </w:p>
        </w:tc>
        <w:tc>
          <w:tcPr>
            <w:tcW w:w="2400" w:type="dxa"/>
            <w:vAlign w:val="bottom"/>
          </w:tcPr>
          <w:p>
            <w:pPr>
              <w:ind w:left="380"/>
              <w:spacing w:after="0"/>
              <w:rPr>
                <w:sz w:val="20"/>
                <w:szCs w:val="20"/>
                <w:color w:val="auto"/>
              </w:rPr>
            </w:pPr>
            <w:r>
              <w:rPr>
                <w:rFonts w:ascii="Arial" w:cs="Arial" w:eastAsia="Arial" w:hAnsi="Arial"/>
                <w:sz w:val="14"/>
                <w:szCs w:val="14"/>
                <w:color w:val="auto"/>
              </w:rPr>
              <w:t>William Blair</w:t>
            </w:r>
          </w:p>
        </w:tc>
        <w:tc>
          <w:tcPr>
            <w:tcW w:w="1520" w:type="dxa"/>
            <w:vAlign w:val="bottom"/>
          </w:tcPr>
          <w:p>
            <w:pPr>
              <w:ind w:left="280"/>
              <w:spacing w:after="0"/>
              <w:rPr>
                <w:sz w:val="20"/>
                <w:szCs w:val="20"/>
                <w:color w:val="auto"/>
              </w:rPr>
            </w:pPr>
            <w:r>
              <w:rPr>
                <w:rFonts w:ascii="Arial" w:cs="Arial" w:eastAsia="Arial" w:hAnsi="Arial"/>
                <w:sz w:val="14"/>
                <w:szCs w:val="14"/>
                <w:color w:val="auto"/>
              </w:rPr>
              <w:t>Baird</w:t>
            </w:r>
          </w:p>
        </w:tc>
        <w:tc>
          <w:tcPr>
            <w:tcW w:w="2020" w:type="dxa"/>
            <w:vAlign w:val="bottom"/>
          </w:tcPr>
          <w:p>
            <w:pPr>
              <w:ind w:left="600"/>
              <w:spacing w:after="0"/>
              <w:rPr>
                <w:sz w:val="20"/>
                <w:szCs w:val="20"/>
                <w:color w:val="auto"/>
              </w:rPr>
            </w:pPr>
            <w:r>
              <w:rPr>
                <w:rFonts w:ascii="Arial" w:cs="Arial" w:eastAsia="Arial" w:hAnsi="Arial"/>
                <w:sz w:val="14"/>
                <w:szCs w:val="14"/>
                <w:color w:val="auto"/>
              </w:rPr>
              <w:t>Needham &amp; Company</w:t>
            </w:r>
          </w:p>
        </w:tc>
      </w:tr>
      <w:tr>
        <w:trPr>
          <w:trHeight w:val="53"/>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603"/>
        </w:trPr>
        <w:tc>
          <w:tcPr>
            <w:tcW w:w="1820" w:type="dxa"/>
            <w:vAlign w:val="bottom"/>
          </w:tcPr>
          <w:p>
            <w:pPr>
              <w:spacing w:after="0"/>
              <w:rPr>
                <w:sz w:val="20"/>
                <w:szCs w:val="20"/>
                <w:color w:val="auto"/>
              </w:rPr>
            </w:pPr>
            <w:r>
              <w:rPr>
                <w:rFonts w:ascii="Arial" w:cs="Arial" w:eastAsia="Arial" w:hAnsi="Arial"/>
                <w:sz w:val="14"/>
                <w:szCs w:val="14"/>
                <w:color w:val="auto"/>
              </w:rPr>
              <w:t>October 28, 2021</w:t>
            </w:r>
          </w:p>
        </w:tc>
        <w:tc>
          <w:tcPr>
            <w:tcW w:w="3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lvl w:ilvl="1">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1)"/>
      <w:numFmt w:val="decimal"/>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decimal"/>
      <w:start w:val="1"/>
    </w:lvl>
  </w:abstractNum>
  <w:abstractNum w:abstractNumId="17">
    <w:nsid w:val="100F8FCA"/>
    <w:multiLevelType w:val="hybridMultilevel"/>
    <w:lvl w:ilvl="0">
      <w:lvlJc w:val="left"/>
      <w:lvlText w:val="(%1)"/>
      <w:numFmt w:val="decimal"/>
      <w:start w:val="2"/>
    </w:lvl>
  </w:abstractNum>
  <w:abstractNum w:abstractNumId="18">
    <w:nsid w:val="6590700B"/>
    <w:multiLevelType w:val="hybridMultilevel"/>
    <w:lvl w:ilvl="0">
      <w:lvlJc w:val="left"/>
      <w:lvlText w:val="(%1)"/>
      <w:numFmt w:val="decimal"/>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1)"/>
      <w:numFmt w:val="lowerRoman"/>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decimal"/>
      <w:start w:val="2"/>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5"/>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lvl w:ilvl="1">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decimal"/>
      <w:start w:val="1"/>
    </w:lvl>
  </w:abstractNum>
  <w:abstractNum w:abstractNumId="79">
    <w:nsid w:val="6FC75AF8"/>
    <w:multiLevelType w:val="hybridMultilevel"/>
    <w:lvl w:ilvl="0">
      <w:lvlJc w:val="left"/>
      <w:lvlText w:val="(%1)"/>
      <w:numFmt w:val="decimal"/>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1"/>
    </w:lvl>
  </w:abstractNum>
  <w:abstractNum w:abstractNumId="84">
    <w:nsid w:val="7DE67713"/>
    <w:multiLevelType w:val="hybridMultilevel"/>
    <w:lvl w:ilvl="0">
      <w:lvlJc w:val="left"/>
      <w:lvlText w:val="(%1)"/>
      <w:numFmt w:val="decimal"/>
      <w:start w:val="2"/>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1)"/>
      <w:numFmt w:val="decimal"/>
      <w:start w:val="2"/>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1)"/>
      <w:numFmt w:val="decimal"/>
      <w:start w:val="3"/>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
      <w:numFmt w:val="bullet"/>
      <w:start w:val="1"/>
    </w:lvl>
  </w:abstractNum>
  <w:abstractNum w:abstractNumId="91">
    <w:nsid w:val="53299938"/>
    <w:multiLevelType w:val="hybridMultilevel"/>
    <w:lvl w:ilvl="0">
      <w:lvlJc w:val="left"/>
      <w:lvlText w:val="(%1)"/>
      <w:numFmt w:val="decimal"/>
      <w:start w:val="2"/>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1)"/>
      <w:numFmt w:val="decimal"/>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
      <w:numFmt w:val="bullet"/>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lowerLetter"/>
      <w:start w:val="1"/>
    </w:lvl>
  </w:abstractNum>
  <w:abstractNum w:abstractNumId="106">
    <w:nsid w:val="45E6D486"/>
    <w:multiLevelType w:val="hybridMultilevel"/>
    <w:lvl w:ilvl="0">
      <w:lvlJc w:val="left"/>
      <w:lvlText w:val="%1."/>
      <w:numFmt w:val="decimal"/>
      <w:start w:val="1"/>
    </w:lvl>
  </w:abstractNum>
  <w:abstractNum w:abstractNumId="107">
    <w:nsid w:val="5C10FE21"/>
    <w:multiLevelType w:val="hybridMultilevel"/>
    <w:lvl w:ilvl="0">
      <w:lvlJc w:val="left"/>
      <w:lvlText w:val="%1."/>
      <w:numFmt w:val="decimal"/>
      <w:start w:val="2"/>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1."/>
      <w:numFmt w:val="decimal"/>
      <w:start w:val="2"/>
    </w:lvl>
  </w:abstractNum>
  <w:abstractNum w:abstractNumId="110">
    <w:nsid w:val="4BD8591A"/>
    <w:multiLevelType w:val="hybridMultilevel"/>
    <w:lvl w:ilvl="0">
      <w:lvlJc w:val="left"/>
      <w:lvlText w:val="•"/>
      <w:numFmt w:val="bullet"/>
      <w:start w:val="1"/>
    </w:lvl>
  </w:abstractNum>
  <w:abstractNum w:abstractNumId="111">
    <w:nsid w:val="78DF6A55"/>
    <w:multiLevelType w:val="hybridMultilevel"/>
    <w:lvl w:ilvl="0">
      <w:lvlJc w:val="left"/>
      <w:lvlText w:val="%1."/>
      <w:numFmt w:val="decimal"/>
      <w:start w:val="3"/>
    </w:lvl>
  </w:abstractNum>
  <w:abstractNum w:abstractNumId="112">
    <w:nsid w:val="39B7AAA2"/>
    <w:multiLevelType w:val="hybridMultilevel"/>
    <w:lvl w:ilvl="0">
      <w:lvlJc w:val="left"/>
      <w:lvlText w:val="%1."/>
      <w:numFmt w:val="decimal"/>
      <w:start w:val="4"/>
    </w:lvl>
  </w:abstractNum>
  <w:abstractNum w:abstractNumId="113">
    <w:nsid w:val="2B0D8DBE"/>
    <w:multiLevelType w:val="hybridMultilevel"/>
    <w:lvl w:ilvl="0">
      <w:lvlJc w:val="left"/>
      <w:lvlText w:val="%1."/>
      <w:numFmt w:val="decimal"/>
      <w:start w:val="5"/>
    </w:lvl>
  </w:abstractNum>
  <w:abstractNum w:abstractNumId="114">
    <w:nsid w:val="6C80EC70"/>
    <w:multiLevelType w:val="hybridMultilevel"/>
    <w:lvl w:ilvl="0">
      <w:lvlJc w:val="left"/>
      <w:lvlText w:val="%1."/>
      <w:numFmt w:val="decimal"/>
      <w:start w:val="6"/>
    </w:lvl>
  </w:abstractNum>
  <w:abstractNum w:abstractNumId="115">
    <w:nsid w:val="379E21B5"/>
    <w:multiLevelType w:val="hybridMultilevel"/>
    <w:lvl w:ilvl="0">
      <w:lvlJc w:val="left"/>
      <w:lvlText w:val="%1."/>
      <w:numFmt w:val="decimal"/>
      <w:start w:val="7"/>
    </w:lvl>
  </w:abstractNum>
  <w:abstractNum w:abstractNumId="116">
    <w:nsid w:val="69E373"/>
    <w:multiLevelType w:val="hybridMultilevel"/>
    <w:lvl w:ilvl="0">
      <w:lvlJc w:val="left"/>
      <w:lvlText w:val="%1."/>
      <w:numFmt w:val="decimal"/>
      <w:start w:val="8"/>
    </w:lvl>
  </w:abstractNum>
  <w:abstractNum w:abstractNumId="117">
    <w:nsid w:val="2C27173B"/>
    <w:multiLevelType w:val="hybridMultilevel"/>
    <w:lvl w:ilvl="0">
      <w:lvlJc w:val="left"/>
      <w:lvlText w:val="%1."/>
      <w:numFmt w:val="decimal"/>
      <w:start w:val="9"/>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2021-10-29T15:16:32Z</dcterms:created>
  <dcterms:modified xsi:type="dcterms:W3CDTF">2021-10-29T15:16:32Z</dcterms:modified>
</cp:coreProperties>
</file>