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22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225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86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9"/>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Lieberman Jeffrey</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900" w:type="dxa"/>
            <w:vAlign w:val="bottom"/>
            <w:gridSpan w:val="6"/>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Udemy,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UDMY</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9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40" w:type="dxa"/>
            <w:vAlign w:val="bottom"/>
            <w:gridSpan w:val="4"/>
            <w:vMerge w:val="restart"/>
          </w:tcPr>
          <w:p>
            <w:pPr>
              <w:spacing w:after="0"/>
              <w:rPr>
                <w:sz w:val="20"/>
                <w:szCs w:val="20"/>
                <w:color w:val="auto"/>
              </w:rPr>
            </w:pPr>
            <w:r>
              <w:rPr>
                <w:rFonts w:ascii="Arial" w:cs="Arial" w:eastAsia="Arial" w:hAnsi="Arial"/>
                <w:sz w:val="13"/>
                <w:szCs w:val="13"/>
                <w:color w:val="auto"/>
              </w:rPr>
              <w:t>(Check all applicable)</w:t>
            </w: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5"/>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Borders>
              <w:bottom w:val="single" w:sz="8" w:color="0000EE"/>
            </w:tcBorders>
          </w:tcPr>
          <w:p>
            <w:pPr>
              <w:spacing w:after="0"/>
              <w:rPr>
                <w:sz w:val="6"/>
                <w:szCs w:val="6"/>
                <w:color w:val="auto"/>
              </w:rPr>
            </w:pPr>
          </w:p>
        </w:tc>
        <w:tc>
          <w:tcPr>
            <w:tcW w:w="300" w:type="dxa"/>
            <w:vAlign w:val="bottom"/>
            <w:tcBorders>
              <w:bottom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9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40" w:type="dxa"/>
            <w:vAlign w:val="bottom"/>
            <w:gridSpan w:val="4"/>
            <w:vMerge w:val="continue"/>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9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720" w:type="dxa"/>
            <w:vAlign w:val="bottom"/>
            <w:gridSpan w:val="2"/>
            <w:vMerge w:val="restart"/>
          </w:tcPr>
          <w:p>
            <w:pPr>
              <w:ind w:left="400"/>
              <w:spacing w:after="0"/>
              <w:rPr>
                <w:sz w:val="20"/>
                <w:szCs w:val="20"/>
                <w:color w:val="auto"/>
              </w:rPr>
            </w:pPr>
            <w:r>
              <w:rPr>
                <w:rFonts w:ascii="Arial" w:cs="Arial" w:eastAsia="Arial" w:hAnsi="Arial"/>
                <w:sz w:val="13"/>
                <w:szCs w:val="13"/>
                <w:color w:val="auto"/>
              </w:rPr>
              <w:t>Director</w:t>
            </w:r>
          </w:p>
        </w:tc>
        <w:tc>
          <w:tcPr>
            <w:tcW w:w="220" w:type="dxa"/>
            <w:vAlign w:val="bottom"/>
          </w:tcPr>
          <w:p>
            <w:pPr>
              <w:spacing w:after="0"/>
              <w:rPr>
                <w:sz w:val="5"/>
                <w:szCs w:val="5"/>
                <w:color w:val="auto"/>
              </w:rPr>
            </w:pPr>
          </w:p>
        </w:tc>
        <w:tc>
          <w:tcPr>
            <w:tcW w:w="1280" w:type="dxa"/>
            <w:vAlign w:val="bottom"/>
            <w:gridSpan w:val="4"/>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7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9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72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128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9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100" w:type="dxa"/>
            <w:vAlign w:val="bottom"/>
            <w:vMerge w:val="restart"/>
          </w:tcPr>
          <w:p>
            <w:pPr>
              <w:spacing w:after="0"/>
              <w:rPr>
                <w:sz w:val="9"/>
                <w:szCs w:val="9"/>
                <w:color w:val="auto"/>
              </w:rPr>
            </w:pPr>
          </w:p>
        </w:tc>
        <w:tc>
          <w:tcPr>
            <w:tcW w:w="1720" w:type="dxa"/>
            <w:vAlign w:val="bottom"/>
            <w:gridSpan w:val="2"/>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220" w:type="dxa"/>
            <w:vAlign w:val="bottom"/>
          </w:tcPr>
          <w:p>
            <w:pPr>
              <w:spacing w:after="0"/>
              <w:rPr>
                <w:sz w:val="9"/>
                <w:szCs w:val="9"/>
                <w:color w:val="auto"/>
              </w:rPr>
            </w:pPr>
          </w:p>
        </w:tc>
        <w:tc>
          <w:tcPr>
            <w:tcW w:w="1280" w:type="dxa"/>
            <w:vAlign w:val="bottom"/>
            <w:gridSpan w:val="4"/>
            <w:vMerge w:val="restart"/>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top w:val="single" w:sz="8" w:color="EEEEEE"/>
            </w:tcBorders>
          </w:tcPr>
          <w:p>
            <w:pPr>
              <w:spacing w:after="0"/>
              <w:rPr>
                <w:sz w:val="4"/>
                <w:szCs w:val="4"/>
                <w:color w:val="auto"/>
              </w:rPr>
            </w:pPr>
          </w:p>
        </w:tc>
        <w:tc>
          <w:tcPr>
            <w:tcW w:w="540" w:type="dxa"/>
            <w:vAlign w:val="bottom"/>
            <w:tcBorders>
              <w:top w:val="single" w:sz="8" w:color="EEEEEE"/>
            </w:tcBorders>
          </w:tcPr>
          <w:p>
            <w:pPr>
              <w:spacing w:after="0"/>
              <w:rPr>
                <w:sz w:val="4"/>
                <w:szCs w:val="4"/>
                <w:color w:val="auto"/>
              </w:rPr>
            </w:pPr>
          </w:p>
        </w:tc>
        <w:tc>
          <w:tcPr>
            <w:tcW w:w="300" w:type="dxa"/>
            <w:vAlign w:val="bottom"/>
            <w:tcBorders>
              <w:top w:val="single" w:sz="8" w:color="EEEEEE"/>
            </w:tcBorders>
          </w:tcPr>
          <w:p>
            <w:pPr>
              <w:spacing w:after="0"/>
              <w:rPr>
                <w:sz w:val="4"/>
                <w:szCs w:val="4"/>
                <w:color w:val="auto"/>
              </w:rPr>
            </w:pPr>
          </w:p>
        </w:tc>
        <w:tc>
          <w:tcPr>
            <w:tcW w:w="100" w:type="dxa"/>
            <w:vAlign w:val="bottom"/>
            <w:tcBorders>
              <w:top w:val="single" w:sz="8" w:color="EEEEEE"/>
            </w:tcBorders>
          </w:tcPr>
          <w:p>
            <w:pPr>
              <w:spacing w:after="0"/>
              <w:rPr>
                <w:sz w:val="4"/>
                <w:szCs w:val="4"/>
                <w:color w:val="auto"/>
              </w:rPr>
            </w:pPr>
          </w:p>
        </w:tc>
        <w:tc>
          <w:tcPr>
            <w:tcW w:w="72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172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12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16"/>
                <w:szCs w:val="16"/>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2860" w:type="dxa"/>
            <w:vAlign w:val="bottom"/>
            <w:gridSpan w:val="7"/>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gridSpan w:val="2"/>
          </w:tcPr>
          <w:p>
            <w:pPr>
              <w:ind w:left="400"/>
              <w:spacing w:after="0"/>
              <w:rPr>
                <w:sz w:val="20"/>
                <w:szCs w:val="20"/>
                <w:color w:val="auto"/>
              </w:rPr>
            </w:pPr>
            <w:r>
              <w:rPr>
                <w:rFonts w:ascii="Arial" w:cs="Arial" w:eastAsia="Arial" w:hAnsi="Arial"/>
                <w:sz w:val="13"/>
                <w:szCs w:val="13"/>
                <w:color w:val="auto"/>
              </w:rPr>
              <w:t>below)</w:t>
            </w:r>
          </w:p>
        </w:tc>
        <w:tc>
          <w:tcPr>
            <w:tcW w:w="220" w:type="dxa"/>
            <w:vAlign w:val="bottom"/>
          </w:tcPr>
          <w:p>
            <w:pPr>
              <w:spacing w:after="0"/>
              <w:rPr>
                <w:sz w:val="16"/>
                <w:szCs w:val="16"/>
                <w:color w:val="auto"/>
              </w:rPr>
            </w:pPr>
          </w:p>
        </w:tc>
        <w:tc>
          <w:tcPr>
            <w:tcW w:w="500" w:type="dxa"/>
            <w:vAlign w:val="bottom"/>
          </w:tcPr>
          <w:p>
            <w:pPr>
              <w:ind w:left="2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INSIGHT PARTNERS</w:t>
            </w: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05/11/2026</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9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72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1114 AVENUE OF THE AMERICAS, 36TH</w:t>
            </w:r>
          </w:p>
        </w:tc>
        <w:tc>
          <w:tcPr>
            <w:tcW w:w="8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30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96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80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22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line="187" w:lineRule="exact"/>
              <w:rPr>
                <w:sz w:val="20"/>
                <w:szCs w:val="20"/>
                <w:color w:val="auto"/>
              </w:rPr>
            </w:pPr>
            <w:r>
              <w:rPr>
                <w:rFonts w:ascii="Times New Roman" w:cs="Times New Roman" w:eastAsia="Times New Roman" w:hAnsi="Times New Roman"/>
                <w:sz w:val="17"/>
                <w:szCs w:val="17"/>
                <w:color w:val="0000FF"/>
              </w:rPr>
              <w:t>FLOOR</w:t>
            </w: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20" w:type="dxa"/>
            <w:vAlign w:val="bottom"/>
            <w:gridSpan w:val="10"/>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9"/>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3"/>
          </w:tcPr>
          <w:p>
            <w:pPr>
              <w:spacing w:after="0"/>
              <w:rPr>
                <w:sz w:val="20"/>
                <w:szCs w:val="20"/>
                <w:color w:val="auto"/>
              </w:rPr>
            </w:pPr>
            <w:r>
              <w:rPr>
                <w:rFonts w:ascii="Arial" w:cs="Arial" w:eastAsia="Arial" w:hAnsi="Arial"/>
                <w:sz w:val="13"/>
                <w:szCs w:val="13"/>
                <w:color w:val="auto"/>
              </w:rPr>
              <w:t>Line)</w:t>
            </w: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20" w:type="dxa"/>
            <w:vAlign w:val="bottom"/>
            <w:gridSpan w:val="7"/>
          </w:tcPr>
          <w:p>
            <w:pPr>
              <w:ind w:left="4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9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20" w:type="dxa"/>
            <w:vAlign w:val="bottom"/>
            <w:gridSpan w:val="7"/>
            <w:vMerge w:val="restart"/>
          </w:tcPr>
          <w:p>
            <w:pPr>
              <w:ind w:left="4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10036</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2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20" w:type="dxa"/>
            <w:vAlign w:val="bottom"/>
            <w:gridSpan w:val="2"/>
            <w:vMerge w:val="restart"/>
          </w:tcPr>
          <w:p>
            <w:pPr>
              <w:ind w:left="400"/>
              <w:spacing w:after="0"/>
              <w:rPr>
                <w:sz w:val="20"/>
                <w:szCs w:val="20"/>
                <w:color w:val="auto"/>
              </w:rPr>
            </w:pPr>
            <w:r>
              <w:rPr>
                <w:rFonts w:ascii="Arial" w:cs="Arial" w:eastAsia="Arial" w:hAnsi="Arial"/>
                <w:sz w:val="13"/>
                <w:szCs w:val="13"/>
                <w:color w:val="auto"/>
              </w:rPr>
              <w:t>Person</w:t>
            </w: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440" w:type="dxa"/>
            <w:vAlign w:val="bottom"/>
          </w:tcPr>
          <w:p>
            <w:pPr>
              <w:spacing w:after="0"/>
              <w:rPr>
                <w:sz w:val="4"/>
                <w:szCs w:val="4"/>
                <w:color w:val="auto"/>
              </w:rPr>
            </w:pPr>
          </w:p>
        </w:tc>
        <w:tc>
          <w:tcPr>
            <w:tcW w:w="960" w:type="dxa"/>
            <w:vAlign w:val="bottom"/>
          </w:tcPr>
          <w:p>
            <w:pPr>
              <w:spacing w:after="0"/>
              <w:rPr>
                <w:sz w:val="4"/>
                <w:szCs w:val="4"/>
                <w:color w:val="auto"/>
              </w:rPr>
            </w:pPr>
          </w:p>
        </w:tc>
        <w:tc>
          <w:tcPr>
            <w:tcW w:w="4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2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gridSpan w:val="2"/>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9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040" w:type="dxa"/>
            <w:vAlign w:val="bottom"/>
            <w:tcBorders>
              <w:bottom w:val="single" w:sz="8" w:color="2C2C2C"/>
            </w:tcBorders>
            <w:gridSpan w:val="2"/>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2660" w:type="dxa"/>
            <w:vAlign w:val="bottom"/>
            <w:tcBorders>
              <w:bottom w:val="single" w:sz="8" w:color="2C2C2C"/>
            </w:tcBorders>
            <w:gridSpan w:val="6"/>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720" w:type="dxa"/>
            <w:vAlign w:val="bottom"/>
            <w:tcBorders>
              <w:bottom w:val="single" w:sz="8" w:color="2C2C2C"/>
            </w:tcBorders>
            <w:gridSpan w:val="2"/>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880" w:type="dxa"/>
            <w:vAlign w:val="bottom"/>
            <w:tcBorders>
              <w:top w:val="single" w:sz="8" w:color="2C2C2C"/>
            </w:tcBorders>
            <w:gridSpan w:val="19"/>
          </w:tcPr>
          <w:p>
            <w:pPr>
              <w:ind w:left="5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2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4"/>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4"/>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40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440" w:type="dxa"/>
            <w:vAlign w:val="bottom"/>
          </w:tcPr>
          <w:p>
            <w:pPr>
              <w:spacing w:after="0"/>
              <w:rPr>
                <w:sz w:val="15"/>
                <w:szCs w:val="15"/>
                <w:color w:val="auto"/>
              </w:rPr>
            </w:pPr>
          </w:p>
        </w:tc>
        <w:tc>
          <w:tcPr>
            <w:tcW w:w="19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5"/>
                <w:szCs w:val="15"/>
                <w:color w:val="auto"/>
              </w:rPr>
            </w:pPr>
          </w:p>
        </w:tc>
        <w:tc>
          <w:tcPr>
            <w:tcW w:w="9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140" w:type="dxa"/>
            <w:vAlign w:val="bottom"/>
            <w:gridSpan w:val="2"/>
          </w:tcPr>
          <w:p>
            <w:pPr>
              <w:ind w:left="280"/>
              <w:spacing w:after="0"/>
              <w:rPr>
                <w:sz w:val="20"/>
                <w:szCs w:val="20"/>
                <w:color w:val="auto"/>
              </w:rPr>
            </w:pPr>
            <w:r>
              <w:rPr>
                <w:rFonts w:ascii="Arial" w:cs="Arial" w:eastAsia="Arial" w:hAnsi="Arial"/>
                <w:sz w:val="12"/>
                <w:szCs w:val="12"/>
                <w:b w:val="1"/>
                <w:bCs w:val="1"/>
                <w:color w:val="auto"/>
              </w:rPr>
              <w:t>6. Ownership</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2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1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114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Form: Direct</w:t>
            </w:r>
          </w:p>
        </w:tc>
        <w:tc>
          <w:tcPr>
            <w:tcW w:w="12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2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8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9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 or</w:t>
            </w:r>
          </w:p>
        </w:tc>
        <w:tc>
          <w:tcPr>
            <w:tcW w:w="220" w:type="dxa"/>
            <w:vAlign w:val="bottom"/>
          </w:tcPr>
          <w:p>
            <w:pPr>
              <w:spacing w:after="0"/>
              <w:rPr>
                <w:sz w:val="11"/>
                <w:szCs w:val="11"/>
                <w:color w:val="auto"/>
              </w:rPr>
            </w:pPr>
          </w:p>
        </w:tc>
        <w:tc>
          <w:tcPr>
            <w:tcW w:w="12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Indirect (I)</w:t>
            </w:r>
          </w:p>
        </w:tc>
        <w:tc>
          <w:tcPr>
            <w:tcW w:w="220" w:type="dxa"/>
            <w:vAlign w:val="bottom"/>
          </w:tcPr>
          <w:p>
            <w:pPr>
              <w:spacing w:after="0"/>
              <w:rPr>
                <w:sz w:val="11"/>
                <w:szCs w:val="11"/>
                <w:color w:val="auto"/>
              </w:rPr>
            </w:pP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960" w:type="dxa"/>
            <w:vAlign w:val="bottom"/>
            <w:tcBorders>
              <w:bottom w:val="single" w:sz="8" w:color="808080"/>
            </w:tcBorders>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(Instr. 4)</w:t>
            </w: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tcPr>
          <w:p>
            <w:pPr>
              <w:spacing w:after="0"/>
              <w:rPr>
                <w:sz w:val="7"/>
                <w:szCs w:val="7"/>
                <w:color w:val="auto"/>
              </w:rPr>
            </w:pPr>
          </w:p>
        </w:tc>
        <w:tc>
          <w:tcPr>
            <w:tcW w:w="96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vMerge w:val="restart"/>
          </w:tcPr>
          <w:p>
            <w:pPr>
              <w:spacing w:after="0"/>
              <w:rPr>
                <w:sz w:val="20"/>
                <w:szCs w:val="20"/>
                <w:color w:val="auto"/>
              </w:rPr>
            </w:pPr>
            <w:r>
              <w:rPr>
                <w:rFonts w:ascii="Arial" w:cs="Arial" w:eastAsia="Arial" w:hAnsi="Arial"/>
                <w:sz w:val="12"/>
                <w:szCs w:val="12"/>
                <w:b w:val="1"/>
                <w:bCs w:val="1"/>
                <w:color w:val="auto"/>
              </w:rPr>
              <w:t>(A) or</w:t>
            </w:r>
          </w:p>
        </w:tc>
        <w:tc>
          <w:tcPr>
            <w:tcW w:w="44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20" w:type="dxa"/>
            <w:vAlign w:val="bottom"/>
            <w:tcBorders>
              <w:top w:val="single" w:sz="8" w:color="2C2C2C"/>
            </w:tcBorders>
          </w:tcPr>
          <w:p>
            <w:pPr>
              <w:spacing w:after="0"/>
              <w:rPr>
                <w:sz w:val="7"/>
                <w:szCs w:val="7"/>
                <w:color w:val="auto"/>
              </w:rPr>
            </w:pPr>
          </w:p>
        </w:tc>
        <w:tc>
          <w:tcPr>
            <w:tcW w:w="90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jc w:val="center"/>
              <w:ind w:right="20"/>
              <w:spacing w:after="0"/>
              <w:rPr>
                <w:sz w:val="20"/>
                <w:szCs w:val="20"/>
                <w:color w:val="auto"/>
              </w:rPr>
            </w:pPr>
            <w:r>
              <w:rPr>
                <w:rFonts w:ascii="Arial" w:cs="Arial" w:eastAsia="Arial" w:hAnsi="Arial"/>
                <w:sz w:val="12"/>
                <w:szCs w:val="12"/>
                <w:b w:val="1"/>
                <w:bCs w:val="1"/>
                <w:color w:val="auto"/>
                <w:w w:val="99"/>
              </w:rPr>
              <w:t>V</w:t>
            </w:r>
          </w:p>
        </w:tc>
        <w:tc>
          <w:tcPr>
            <w:tcW w:w="96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3"/>
                <w:szCs w:val="13"/>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3"/>
                <w:szCs w:val="13"/>
                <w:color w:val="auto"/>
              </w:rPr>
            </w:pPr>
          </w:p>
        </w:tc>
        <w:tc>
          <w:tcPr>
            <w:tcW w:w="90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Transaction(s)</w:t>
            </w: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9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4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90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w w:val="99"/>
              </w:rPr>
              <w:t>(Instr. 3 and 4)</w:t>
            </w:r>
          </w:p>
        </w:tc>
        <w:tc>
          <w:tcPr>
            <w:tcW w:w="92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05/11/2026</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D</w:t>
            </w:r>
          </w:p>
        </w:tc>
        <w:tc>
          <w:tcPr>
            <w:tcW w:w="440" w:type="dxa"/>
            <w:vAlign w:val="bottom"/>
          </w:tcPr>
          <w:p>
            <w:pPr>
              <w:spacing w:after="0"/>
              <w:rPr>
                <w:sz w:val="23"/>
                <w:szCs w:val="23"/>
                <w:color w:val="auto"/>
              </w:rPr>
            </w:pP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147,477</w:t>
            </w:r>
          </w:p>
        </w:tc>
        <w:tc>
          <w:tcPr>
            <w:tcW w:w="44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440" w:type="dxa"/>
            <w:vAlign w:val="bottom"/>
          </w:tcPr>
          <w:p>
            <w:pPr>
              <w:jc w:val="right"/>
              <w:ind w:right="61"/>
              <w:spacing w:after="0"/>
              <w:rPr>
                <w:sz w:val="20"/>
                <w:szCs w:val="20"/>
                <w:color w:val="auto"/>
              </w:rPr>
            </w:pPr>
            <w:r>
              <w:rPr>
                <w:rFonts w:ascii="Times New Roman" w:cs="Times New Roman" w:eastAsia="Times New Roman" w:hAnsi="Times New Roman"/>
                <w:sz w:val="11"/>
                <w:szCs w:val="11"/>
                <w:color w:val="008000"/>
              </w:rPr>
              <w:t>(1)</w:t>
            </w:r>
          </w:p>
        </w:tc>
        <w:tc>
          <w:tcPr>
            <w:tcW w:w="80" w:type="dxa"/>
            <w:vAlign w:val="bottom"/>
          </w:tcPr>
          <w:p>
            <w:pPr>
              <w:spacing w:after="0"/>
              <w:rPr>
                <w:sz w:val="23"/>
                <w:szCs w:val="23"/>
                <w:color w:val="auto"/>
              </w:rPr>
            </w:pPr>
          </w:p>
        </w:tc>
        <w:tc>
          <w:tcPr>
            <w:tcW w:w="920" w:type="dxa"/>
            <w:vAlign w:val="bottom"/>
            <w:gridSpan w:val="3"/>
          </w:tcPr>
          <w:p>
            <w:pPr>
              <w:ind w:left="540"/>
              <w:spacing w:after="0"/>
              <w:rPr>
                <w:sz w:val="20"/>
                <w:szCs w:val="20"/>
                <w:color w:val="auto"/>
              </w:rPr>
            </w:pPr>
            <w:r>
              <w:rPr>
                <w:rFonts w:ascii="Times New Roman" w:cs="Times New Roman" w:eastAsia="Times New Roman" w:hAnsi="Times New Roman"/>
                <w:sz w:val="17"/>
                <w:szCs w:val="17"/>
                <w:color w:val="0000FF"/>
              </w:rPr>
              <w:t>0</w:t>
            </w:r>
          </w:p>
        </w:tc>
        <w:tc>
          <w:tcPr>
            <w:tcW w:w="920" w:type="dxa"/>
            <w:vAlign w:val="bottom"/>
          </w:tcPr>
          <w:p>
            <w:pPr>
              <w:ind w:left="620"/>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05/11/2026</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D</w:t>
            </w:r>
          </w:p>
        </w:tc>
        <w:tc>
          <w:tcPr>
            <w:tcW w:w="440" w:type="dxa"/>
            <w:vAlign w:val="bottom"/>
          </w:tcPr>
          <w:p>
            <w:pPr>
              <w:spacing w:after="0"/>
              <w:rPr>
                <w:sz w:val="21"/>
                <w:szCs w:val="21"/>
                <w:color w:val="auto"/>
              </w:rPr>
            </w:pPr>
          </w:p>
        </w:tc>
        <w:tc>
          <w:tcPr>
            <w:tcW w:w="9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38,032,260</w:t>
            </w:r>
          </w:p>
        </w:tc>
        <w:tc>
          <w:tcPr>
            <w:tcW w:w="4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440" w:type="dxa"/>
            <w:vAlign w:val="bottom"/>
            <w:vMerge w:val="restart"/>
          </w:tcPr>
          <w:p>
            <w:pPr>
              <w:jc w:val="right"/>
              <w:ind w:right="61"/>
              <w:spacing w:after="0"/>
              <w:rPr>
                <w:sz w:val="20"/>
                <w:szCs w:val="20"/>
                <w:color w:val="auto"/>
              </w:rPr>
            </w:pPr>
            <w:r>
              <w:rPr>
                <w:rFonts w:ascii="Times New Roman" w:cs="Times New Roman" w:eastAsia="Times New Roman" w:hAnsi="Times New Roman"/>
                <w:sz w:val="11"/>
                <w:szCs w:val="11"/>
                <w:color w:val="008000"/>
              </w:rPr>
              <w:t>(1)</w:t>
            </w:r>
          </w:p>
        </w:tc>
        <w:tc>
          <w:tcPr>
            <w:tcW w:w="80" w:type="dxa"/>
            <w:vAlign w:val="bottom"/>
          </w:tcPr>
          <w:p>
            <w:pPr>
              <w:spacing w:after="0"/>
              <w:rPr>
                <w:sz w:val="21"/>
                <w:szCs w:val="21"/>
                <w:color w:val="auto"/>
              </w:rPr>
            </w:pPr>
          </w:p>
        </w:tc>
        <w:tc>
          <w:tcPr>
            <w:tcW w:w="920" w:type="dxa"/>
            <w:vAlign w:val="bottom"/>
            <w:gridSpan w:val="3"/>
            <w:vMerge w:val="restart"/>
          </w:tcPr>
          <w:p>
            <w:pPr>
              <w:ind w:left="540"/>
              <w:spacing w:after="0"/>
              <w:rPr>
                <w:sz w:val="20"/>
                <w:szCs w:val="20"/>
                <w:color w:val="auto"/>
              </w:rPr>
            </w:pPr>
            <w:r>
              <w:rPr>
                <w:rFonts w:ascii="Times New Roman" w:cs="Times New Roman" w:eastAsia="Times New Roman" w:hAnsi="Times New Roman"/>
                <w:sz w:val="17"/>
                <w:szCs w:val="17"/>
                <w:color w:val="0000FF"/>
              </w:rPr>
              <w:t>0</w:t>
            </w:r>
          </w:p>
        </w:tc>
        <w:tc>
          <w:tcPr>
            <w:tcW w:w="920" w:type="dxa"/>
            <w:vAlign w:val="bottom"/>
            <w:vMerge w:val="restart"/>
          </w:tcPr>
          <w:p>
            <w:pPr>
              <w:ind w:left="640"/>
              <w:spacing w:after="0"/>
              <w:rPr>
                <w:sz w:val="20"/>
                <w:szCs w:val="20"/>
                <w:color w:val="auto"/>
              </w:rPr>
            </w:pPr>
            <w:r>
              <w:rPr>
                <w:rFonts w:ascii="Times New Roman" w:cs="Times New Roman" w:eastAsia="Times New Roman" w:hAnsi="Times New Roman"/>
                <w:sz w:val="17"/>
                <w:szCs w:val="17"/>
                <w:color w:val="0000FF"/>
              </w:rPr>
              <w:t>I</w:t>
            </w:r>
          </w:p>
        </w:tc>
        <w:tc>
          <w:tcPr>
            <w:tcW w:w="220" w:type="dxa"/>
            <w:vAlign w:val="bottom"/>
          </w:tcPr>
          <w:p>
            <w:pPr>
              <w:spacing w:after="0"/>
              <w:rPr>
                <w:sz w:val="21"/>
                <w:szCs w:val="21"/>
                <w:color w:val="auto"/>
              </w:rPr>
            </w:pP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3"/>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(2)(3)(4)</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13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9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128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160" w:type="dxa"/>
            <w:vAlign w:val="bottom"/>
            <w:gridSpan w:val="18"/>
          </w:tcPr>
          <w:p>
            <w:pPr>
              <w:jc w:val="center"/>
              <w:ind w:right="857"/>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240" w:type="dxa"/>
            <w:vAlign w:val="bottom"/>
            <w:gridSpan w:val="17"/>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4"/>
          </w:tcPr>
          <w:p>
            <w:pPr>
              <w:ind w:left="2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960" w:type="dxa"/>
            <w:vAlign w:val="bottom"/>
            <w:gridSpan w:val="3"/>
          </w:tcPr>
          <w:p>
            <w:pPr>
              <w:ind w:left="160"/>
              <w:spacing w:after="0"/>
              <w:rPr>
                <w:sz w:val="20"/>
                <w:szCs w:val="20"/>
                <w:color w:val="auto"/>
              </w:rPr>
            </w:pPr>
            <w:r>
              <w:rPr>
                <w:rFonts w:ascii="Arial" w:cs="Arial" w:eastAsia="Arial" w:hAnsi="Arial"/>
                <w:sz w:val="12"/>
                <w:szCs w:val="12"/>
                <w:b w:val="1"/>
                <w:bCs w:val="1"/>
                <w:color w:val="auto"/>
              </w:rPr>
              <w:t>7. Title and</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220" w:type="dxa"/>
            <w:vAlign w:val="bottom"/>
          </w:tcPr>
          <w:p>
            <w:pPr>
              <w:ind w:left="40"/>
              <w:spacing w:after="0"/>
              <w:rPr>
                <w:sz w:val="20"/>
                <w:szCs w:val="20"/>
                <w:color w:val="auto"/>
              </w:rPr>
            </w:pPr>
            <w:r>
              <w:rPr>
                <w:rFonts w:ascii="Arial" w:cs="Arial" w:eastAsia="Arial" w:hAnsi="Arial"/>
                <w:sz w:val="12"/>
                <w:szCs w:val="12"/>
                <w:b w:val="1"/>
                <w:bCs w:val="1"/>
                <w:color w:val="auto"/>
                <w:w w:val="95"/>
              </w:rPr>
              <w:t>10.</w:t>
            </w:r>
          </w:p>
        </w:tc>
        <w:tc>
          <w:tcPr>
            <w:tcW w:w="50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4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960" w:type="dxa"/>
            <w:vAlign w:val="bottom"/>
            <w:gridSpan w:val="3"/>
          </w:tcPr>
          <w:p>
            <w:pPr>
              <w:ind w:left="160"/>
              <w:spacing w:after="0" w:line="133" w:lineRule="exact"/>
              <w:rPr>
                <w:sz w:val="20"/>
                <w:szCs w:val="20"/>
                <w:color w:val="auto"/>
              </w:rPr>
            </w:pPr>
            <w:r>
              <w:rPr>
                <w:rFonts w:ascii="Arial" w:cs="Arial" w:eastAsia="Arial" w:hAnsi="Arial"/>
                <w:sz w:val="12"/>
                <w:szCs w:val="12"/>
                <w:b w:val="1"/>
                <w:bCs w:val="1"/>
                <w:color w:val="auto"/>
              </w:rPr>
              <w:t>Amount of</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3"/>
          </w:tcPr>
          <w:p>
            <w:pPr>
              <w:ind w:left="160"/>
              <w:spacing w:after="0" w:line="133"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20" w:type="dxa"/>
            <w:vAlign w:val="bottom"/>
            <w:gridSpan w:val="3"/>
          </w:tcPr>
          <w:p>
            <w:pPr>
              <w:jc w:val="right"/>
              <w:ind w:right="1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60" w:type="dxa"/>
            <w:vAlign w:val="bottom"/>
            <w:gridSpan w:val="3"/>
          </w:tcPr>
          <w:p>
            <w:pPr>
              <w:ind w:left="160"/>
              <w:spacing w:after="0" w:line="133"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60" w:type="dxa"/>
            <w:vAlign w:val="bottom"/>
            <w:gridSpan w:val="3"/>
          </w:tcPr>
          <w:p>
            <w:pPr>
              <w:ind w:left="160"/>
              <w:spacing w:after="0" w:line="133"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80" w:type="dxa"/>
            <w:vAlign w:val="bottom"/>
            <w:gridSpan w:val="6"/>
          </w:tcPr>
          <w:p>
            <w:pPr>
              <w:ind w:left="160"/>
              <w:spacing w:after="0" w:line="133" w:lineRule="exact"/>
              <w:rPr>
                <w:sz w:val="20"/>
                <w:szCs w:val="20"/>
                <w:color w:val="auto"/>
              </w:rPr>
            </w:pPr>
            <w:r>
              <w:rPr>
                <w:rFonts w:ascii="Arial" w:cs="Arial" w:eastAsia="Arial" w:hAnsi="Arial"/>
                <w:sz w:val="12"/>
                <w:szCs w:val="12"/>
                <w:b w:val="1"/>
                <w:bCs w:val="1"/>
                <w:color w:val="auto"/>
              </w:rPr>
              <w:t>Security (Instr.</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60" w:type="dxa"/>
            <w:vAlign w:val="bottom"/>
            <w:gridSpan w:val="3"/>
          </w:tcPr>
          <w:p>
            <w:pPr>
              <w:ind w:left="160"/>
              <w:spacing w:after="0" w:line="133" w:lineRule="exact"/>
              <w:rPr>
                <w:sz w:val="20"/>
                <w:szCs w:val="20"/>
                <w:color w:val="auto"/>
              </w:rPr>
            </w:pPr>
            <w:r>
              <w:rPr>
                <w:rFonts w:ascii="Arial" w:cs="Arial" w:eastAsia="Arial" w:hAnsi="Arial"/>
                <w:sz w:val="12"/>
                <w:szCs w:val="12"/>
                <w:b w:val="1"/>
                <w:bCs w:val="1"/>
                <w:color w:val="auto"/>
              </w:rPr>
              <w:t>3 and 4)</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gridSpan w:val="3"/>
          </w:tcPr>
          <w:p>
            <w:pPr>
              <w:ind w:left="20"/>
              <w:spacing w:after="0"/>
              <w:rPr>
                <w:sz w:val="20"/>
                <w:szCs w:val="20"/>
                <w:color w:val="auto"/>
              </w:rPr>
            </w:pPr>
            <w:r>
              <w:rPr>
                <w:rFonts w:ascii="Arial" w:cs="Arial" w:eastAsia="Arial" w:hAnsi="Arial"/>
                <w:sz w:val="12"/>
                <w:szCs w:val="12"/>
                <w:b w:val="1"/>
                <w:bCs w:val="1"/>
                <w:color w:val="auto"/>
                <w:w w:val="96"/>
              </w:rPr>
              <w:t>and 5)</w:t>
            </w: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4"/>
          </w:tcPr>
          <w:p>
            <w:pPr>
              <w:spacing w:after="0"/>
              <w:rPr>
                <w:sz w:val="3"/>
                <w:szCs w:val="3"/>
                <w:color w:val="auto"/>
              </w:rPr>
            </w:pPr>
          </w:p>
        </w:tc>
        <w:tc>
          <w:tcPr>
            <w:tcW w:w="8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40" w:type="dxa"/>
            <w:vAlign w:val="bottom"/>
            <w:gridSpan w:val="5"/>
          </w:tcPr>
          <w:p>
            <w:pPr>
              <w:ind w:left="120"/>
              <w:spacing w:after="0"/>
              <w:rPr>
                <w:sz w:val="20"/>
                <w:szCs w:val="20"/>
                <w:color w:val="auto"/>
              </w:rPr>
            </w:pPr>
            <w:r>
              <w:rPr>
                <w:rFonts w:ascii="Arial" w:cs="Arial" w:eastAsia="Arial" w:hAnsi="Arial"/>
                <w:sz w:val="12"/>
                <w:szCs w:val="12"/>
                <w:b w:val="1"/>
                <w:bCs w:val="1"/>
                <w:color w:val="auto"/>
              </w:rPr>
              <w:t>Amount</w:t>
            </w: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4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Expiration</w:t>
            </w:r>
          </w:p>
        </w:tc>
        <w:tc>
          <w:tcPr>
            <w:tcW w:w="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380" w:type="dxa"/>
            <w:vAlign w:val="bottom"/>
            <w:gridSpan w:val="3"/>
          </w:tcPr>
          <w:p>
            <w:pPr>
              <w:ind w:left="2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spacing w:after="0"/>
              <w:rPr>
                <w:sz w:val="20"/>
                <w:szCs w:val="20"/>
                <w:color w:val="auto"/>
              </w:rPr>
            </w:pPr>
            <w:r>
              <w:rPr>
                <w:rFonts w:ascii="Arial" w:cs="Arial" w:eastAsia="Arial" w:hAnsi="Arial"/>
                <w:sz w:val="12"/>
                <w:szCs w:val="12"/>
                <w:b w:val="1"/>
                <w:bCs w:val="1"/>
                <w:color w:val="auto"/>
              </w:rPr>
              <w:t>(D)</w:t>
            </w:r>
          </w:p>
        </w:tc>
        <w:tc>
          <w:tcPr>
            <w:tcW w:w="14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60"/>
              <w:spacing w:after="0"/>
              <w:rPr>
                <w:sz w:val="20"/>
                <w:szCs w:val="20"/>
                <w:color w:val="auto"/>
              </w:rPr>
            </w:pPr>
            <w:r>
              <w:rPr>
                <w:rFonts w:ascii="Arial" w:cs="Arial" w:eastAsia="Arial" w:hAnsi="Arial"/>
                <w:sz w:val="12"/>
                <w:szCs w:val="12"/>
                <w:b w:val="1"/>
                <w:bCs w:val="1"/>
                <w:color w:val="auto"/>
              </w:rPr>
              <w:t>Title</w:t>
            </w:r>
          </w:p>
        </w:tc>
        <w:tc>
          <w:tcPr>
            <w:tcW w:w="520" w:type="dxa"/>
            <w:vAlign w:val="bottom"/>
            <w:gridSpan w:val="2"/>
          </w:tcPr>
          <w:p>
            <w:pPr>
              <w:ind w:left="120"/>
              <w:spacing w:after="0"/>
              <w:rPr>
                <w:sz w:val="20"/>
                <w:szCs w:val="20"/>
                <w:color w:val="auto"/>
              </w:rPr>
            </w:pPr>
            <w:r>
              <w:rPr>
                <w:rFonts w:ascii="Arial" w:cs="Arial" w:eastAsia="Arial" w:hAnsi="Arial"/>
                <w:sz w:val="12"/>
                <w:szCs w:val="12"/>
                <w:b w:val="1"/>
                <w:bCs w:val="1"/>
                <w:color w:val="auto"/>
                <w:w w:val="94"/>
              </w:rPr>
              <w:t>Shares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See Exhibit 99.1</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See Exhibit 99.1</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See Exhibit 99.1</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See Exhibit 99.1</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99.1 - Explanation of Responses</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Jeffrey Lieberman</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05/13/2026</w:t>
            </w:r>
          </w:p>
        </w:tc>
      </w:tr>
      <w:tr>
        <w:trPr>
          <w:trHeight w:val="20"/>
        </w:trPr>
        <w:tc>
          <w:tcPr>
            <w:tcW w:w="14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ind w:left="396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33"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EXPLANATION OF RESPONSES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20" w:hanging="474"/>
        <w:spacing w:after="0" w:line="270" w:lineRule="auto"/>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the Agreement and Plan of Merger, dated December 17, 2025 (the “Merger Agreement”), by and among Udemy, Inc., a Delaware corporation (“Issuer”), Coursera, Inc., a Delaware public benefit corporation (“Coursera”), and Chess Merger Sub, Inc., a Delaware corporation and a direct wholly owned subsidiary of Coursera (“Merger Sub”), effective as of May 11, 2026, Merger Sub merged with and into Issuer (the “Merger”), with Issuer surviving the Merger. Pursuant to the Merger Agreement, at the effective time of the Merger, each share of common stock, par value $0.00001 per share, of Issuer (“Shares”), held by the reporting person, was converted into the right to receive 0.800 share of common stock, par value $0.00001 per share, of Coursera.</w:t>
      </w:r>
    </w:p>
    <w:p>
      <w:pPr>
        <w:spacing w:after="0" w:line="172" w:lineRule="exact"/>
        <w:rPr>
          <w:rFonts w:ascii="Times New Roman" w:cs="Times New Roman" w:eastAsia="Times New Roman" w:hAnsi="Times New Roman"/>
          <w:sz w:val="17"/>
          <w:szCs w:val="17"/>
          <w:color w:val="auto"/>
        </w:rPr>
      </w:pPr>
    </w:p>
    <w:p>
      <w:pPr>
        <w:jc w:val="both"/>
        <w:ind w:left="620" w:right="120" w:hanging="474"/>
        <w:spacing w:after="0" w:line="261" w:lineRule="auto"/>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 exemption under Rule 16b-3 promulgated under the Securities Exchange Act of 1934, as amended , the Board of Directors of the Issuer approved the disposition of any direct or indirect pecuniary interest in any and all of the securities of the Issuer by the reporting person as a result of or in connection with the transaction reported in this Form 4.</w:t>
      </w:r>
    </w:p>
    <w:p>
      <w:pPr>
        <w:spacing w:after="0" w:line="177" w:lineRule="exact"/>
        <w:rPr>
          <w:rFonts w:ascii="Times New Roman" w:cs="Times New Roman" w:eastAsia="Times New Roman" w:hAnsi="Times New Roman"/>
          <w:sz w:val="18"/>
          <w:szCs w:val="18"/>
          <w:color w:val="auto"/>
        </w:rPr>
      </w:pPr>
    </w:p>
    <w:p>
      <w:pPr>
        <w:ind w:left="620" w:right="140" w:hanging="474"/>
        <w:spacing w:after="0" w:line="253" w:lineRule="auto"/>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Merger, the Funds (defined below) collectively hold 38,032,260 Shares. Grace Software Cross Fund Holdings, LLC (“Grace”) holds 984,909 Shares, Insight Venture Partners (Cayman) VII, L.P. (“Cayman VII”) holds 10,654,754 Shares, Insight Venture Partners (Delaware) VII, L.P. (“Delaware VII”) holds 1,530,921 Shares, Insight Venture Partners VII (Co-Investors), L.P. (“Co-Investors VII”) holds 560,198 Shares, Insight Venture Partners VII, L.P. (“IVP VII”) holds 24,203,192 Shares and Insight Partners Public Equities Master Fund, L.P. (“IPPE Master Fund”, and together with Grace, Cayman VII, Delaware VII, Co-Investors VII and IVP VII, collectively the “Funds”) holds 98,286 Shares.</w:t>
      </w:r>
    </w:p>
    <w:p>
      <w:pPr>
        <w:spacing w:after="0" w:line="183" w:lineRule="exact"/>
        <w:rPr>
          <w:rFonts w:ascii="Times New Roman" w:cs="Times New Roman" w:eastAsia="Times New Roman" w:hAnsi="Times New Roman"/>
          <w:sz w:val="18"/>
          <w:szCs w:val="18"/>
          <w:color w:val="auto"/>
        </w:rPr>
      </w:pPr>
    </w:p>
    <w:p>
      <w:pPr>
        <w:ind w:left="62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The reporting person is a member of the board of managers of Insight Holdings Group, LLC (“Holdings”). Holdings is the sole shareholder of Insight Venture Associates VII, Ltd. (“IVA VII Ltd”), IVA VII Ltd is the general partner of Insight Venture Associates VII, L.P. (“IVA VII LP”), IVA VII LP is the general partner of each of Cayman VII, Delaware VII, Co-Investors VII and IVP VII (collectively, the “IVP VII Entities”). Holdings is the sole shareholder of Insight Associates XI, Ltd. (“IA XI Ltd”), IA XI Ltd is the general partner of Insight Associates XI L.P. (“IA XI LP”) and IA XI LP is the manager of Grace. Holdings is the sole shareholder of Insight Falcon Associates, Ltd. (“Falcon Ltd”), which is in turn the general partner of Insight Falcon Partners (A), L.P. (“Falcon LP”), which is in turn the sole member of Insight Venture Management, LLC (“IVM”), which is in turn the sole member of Insight Partners Public Equities GP, LLC (“IPPE GP”) and IPPE GP is the general partner of IPPE Master Fund.</w:t>
      </w:r>
    </w:p>
    <w:p>
      <w:pPr>
        <w:spacing w:after="0" w:line="172" w:lineRule="exact"/>
        <w:rPr>
          <w:rFonts w:ascii="Times New Roman" w:cs="Times New Roman" w:eastAsia="Times New Roman" w:hAnsi="Times New Roman"/>
          <w:sz w:val="18"/>
          <w:szCs w:val="18"/>
          <w:color w:val="auto"/>
        </w:rPr>
      </w:pPr>
    </w:p>
    <w:p>
      <w:pPr>
        <w:ind w:left="620" w:hanging="474"/>
        <w:spacing w:after="0" w:line="251" w:lineRule="auto"/>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indicated as indirectly owned by the reporting person are included herein because the reporting person is a member of the board of managers of Holdings, Holdings is the sole shareholder of IVA VII Ltd, IVA VII Ltd is the general partner of IVA VII LP and IVA VII LP is the general partner of IVP VII Entities, Holdings is the sole shareholder of IA XI Ltd, IA XI Ltd is the general partner of IA XI LP and IA XI LP is the manager of Grace, Holdings is the sole shareholder of Falcon Ltd, Falcon Ltd is the general partner of Falcon LP, Falcon LP is the sole member of IVM, IVM is the sole member of IPPE GP and IPPE GP is the general partner of IPPE Master Fund, and the reporting person therefore may be deemed to share voting and dispositive power over such Shares. The reporting person disclaims beneficial ownership of all Shares held of record by the Funds, except to the extent of his pecuniary interest therein.</w:t>
      </w:r>
    </w:p>
    <w:sectPr>
      <w:pgSz w:w="11900" w:h="16838" w:orient="portrait"/>
      <w:cols w:equalWidth="0" w:num="1">
        <w:col w:w="9980"/>
      </w:cols>
      <w:pgMar w:left="1440" w:top="612"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28837" TargetMode="External"/><Relationship Id="rId14" Type="http://schemas.openxmlformats.org/officeDocument/2006/relationships/hyperlink" Target="http://www.sec.gov/cgi-bin/browse-edgar?action=getcompany&amp;CIK=00016079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2026-05-13T20:49:38Z</dcterms:created>
  <dcterms:modified xsi:type="dcterms:W3CDTF">2026-05-13T20:49:38Z</dcterms:modified>
</cp:coreProperties>
</file>