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78184280.xml.htm"/>
      <w:bookmarkStart w:id="1" w:name="kswkform4a_17781842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Blanchard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UDEMY,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HARRISON STREET,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Udemy, Inc.</w:t>
              </w:r>
            </w:hyperlink>
            <w:r>
              <w:rPr/>
              <w:t xml:space="preserve"> [ </w:t>
            </w:r>
            <w:r>
              <w:rPr>
                <w:rFonts w:ascii="Times;serif" w:hAnsi="Times;serif"/>
                <w:color w:val="0000FF"/>
                <w:sz w:val="24"/>
                <w:shd w:fill="FFFFFF" w:val="clear"/>
              </w:rPr>
              <w:t>UDMY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02/25/2026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970"/>
        <w:gridCol w:w="452"/>
        <w:gridCol w:w="614"/>
        <w:gridCol w:w="1275"/>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02/23/2026</w:t>
            </w:r>
            <w:r>
              <w:rPr>
                <w:rFonts w:ascii="Times;serif" w:hAnsi="Times;serif"/>
                <w:color w:val="008000"/>
                <w:position w:val="7"/>
                <w:sz w:val="16"/>
                <w:sz w:val="20"/>
                <w:shd w:fill="FFFFFF" w:val="clear"/>
              </w:rPr>
              <w:t>(1)</w:t>
            </w:r>
            <w:r>
              <w:rPr/>
              <w:t xml:space="preserve"> </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97,352</w:t>
            </w:r>
            <w:r>
              <w:rPr>
                <w:rFonts w:ascii="Times;serif" w:hAnsi="Times;serif"/>
                <w:color w:val="008000"/>
                <w:position w:val="7"/>
                <w:sz w:val="16"/>
                <w:sz w:val="20"/>
                <w:shd w:fill="FFFFFF" w:val="clear"/>
              </w:rPr>
              <w:t>(2)</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1,300,459</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25, 2026, the reporting person filed a Form 4 which inadvertently reported that, following achievement of a performance-based vesting condition, a total of 97,532 shares underlying performance-based restricted stock units became subject to time-based vesting. In fact, as reported in this amendment, the correct total was 97,352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under a performance-based restricted stock unit ("PSU") award dated March 15, 2025. On February 23, 2026, a performance-based vesting condition was achieved with respect to the award. The PSUs remain subject to time-based vesting under which one-third of the total number of PSUs vest on February 24, 2026, and then 1/12th of the total number of PSUs will vest on each March 15, June 15, September 15, and December 15 thereafter, starting with June 15, 2026, subject to the reporting person's continuous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Babikian,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129" TargetMode="External"/><Relationship Id="rId5" Type="http://schemas.openxmlformats.org/officeDocument/2006/relationships/hyperlink" Target="http://www.sec.gov/cgi-bin/browse-edgar?action=getcompany&amp;CIK=00016079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3867</Characters>
  <CharactersWithSpaces>4515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